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№3 к ПДО №  </w:t>
      </w:r>
      <w:r w:rsidR="00BD088A">
        <w:t>28</w:t>
      </w:r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8A4327" w:rsidRPr="00C842BE" w:rsidRDefault="00A07206" w:rsidP="008A4327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270A14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8A4327" w:rsidRPr="00C842BE">
        <w:rPr>
          <w:bCs/>
        </w:rPr>
        <w:t>Кроме того</w:t>
      </w:r>
      <w:r w:rsidR="008A4327" w:rsidRPr="00C842BE">
        <w:t>, сумма НДС</w:t>
      </w:r>
      <w:r w:rsidR="008A4327">
        <w:t xml:space="preserve">: </w:t>
      </w:r>
      <w:r w:rsidR="008A4327" w:rsidRPr="008A4327">
        <w:rPr>
          <w:highlight w:val="lightGray"/>
        </w:rPr>
        <w:t>______________</w:t>
      </w:r>
      <w:r w:rsidR="008A4327">
        <w:t>р</w:t>
      </w:r>
      <w:r w:rsidR="008A4327" w:rsidRPr="00C842BE">
        <w:t>уб. Общая стоимость Товара составляет</w:t>
      </w:r>
      <w:proofErr w:type="gramStart"/>
      <w:r w:rsidR="008A4327" w:rsidRPr="00C842BE">
        <w:t>:</w:t>
      </w:r>
      <w:r w:rsidR="008A4327">
        <w:t xml:space="preserve"> </w:t>
      </w:r>
      <w:r w:rsidR="008A4327" w:rsidRPr="008A4327">
        <w:rPr>
          <w:b/>
          <w:highlight w:val="lightGray"/>
        </w:rPr>
        <w:t>____________</w:t>
      </w:r>
      <w:r w:rsidR="008A4327" w:rsidRPr="00C842BE">
        <w:t xml:space="preserve"> (</w:t>
      </w:r>
      <w:r w:rsidR="008A4327" w:rsidRPr="008A4327">
        <w:rPr>
          <w:highlight w:val="lightGray"/>
        </w:rPr>
        <w:t>___________________________</w:t>
      </w:r>
      <w:r w:rsidR="008A4327" w:rsidRPr="00C842BE">
        <w:t xml:space="preserve">) </w:t>
      </w:r>
      <w:proofErr w:type="gramEnd"/>
      <w:r w:rsidR="008A4327" w:rsidRPr="00C842BE">
        <w:t>с учетом НДС.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B9" w:rsidRDefault="005B40B9" w:rsidP="00EF59FA">
      <w:r>
        <w:separator/>
      </w:r>
    </w:p>
  </w:endnote>
  <w:endnote w:type="continuationSeparator" w:id="0">
    <w:p w:rsidR="005B40B9" w:rsidRDefault="005B40B9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B9" w:rsidRDefault="005B40B9" w:rsidP="00EF59FA">
      <w:r>
        <w:separator/>
      </w:r>
    </w:p>
  </w:footnote>
  <w:footnote w:type="continuationSeparator" w:id="0">
    <w:p w:rsidR="005B40B9" w:rsidRDefault="005B40B9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B40B9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088A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0843-EAFB-4625-92C6-00BD5A80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4</cp:revision>
  <cp:lastPrinted>2016-01-28T04:41:00Z</cp:lastPrinted>
  <dcterms:created xsi:type="dcterms:W3CDTF">2016-04-21T06:54:00Z</dcterms:created>
  <dcterms:modified xsi:type="dcterms:W3CDTF">2016-04-28T04:24:00Z</dcterms:modified>
</cp:coreProperties>
</file>