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8C1C75">
      <w:pPr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ТРАНСПОРТНОГО СРЕДСТВА</w:t>
      </w:r>
      <w:bookmarkStart w:id="0" w:name="_GoBack"/>
      <w:bookmarkEnd w:id="0"/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между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1789219414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1789219414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2031320865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2031320865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531588586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756029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756029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531588586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61604016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61604016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325221741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325221741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514346496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514346496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691229935" w:edGrp="everyone"/>
      <w:permEnd w:id="691229935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819"/>
      </w:tblGrid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permStart w:id="2099792960" w:edGrp="everyone"/>
            <w:r w:rsidRPr="009B2FB7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>
              <w:rPr>
                <w:color w:val="000000"/>
                <w:sz w:val="22"/>
                <w:szCs w:val="22"/>
                <w:u w:val="single"/>
              </w:rPr>
              <w:t>КА</w:t>
            </w:r>
            <w:proofErr w:type="gramEnd"/>
            <w:r>
              <w:rPr>
                <w:color w:val="000000"/>
                <w:sz w:val="22"/>
                <w:szCs w:val="22"/>
                <w:u w:val="single"/>
              </w:rPr>
              <w:t>ROSA C 954.1360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АВТОБУС  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lastRenderedPageBreak/>
              <w:t>Идентификационный номер (VIN)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ТМКС413604М007655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2004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IVECO F2BE1682G B 005 043889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ТМКС413604М007655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ТМКС413604М007655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СИНИЙ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86 ТЕ 727581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29.03.2004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ХАНТЫ-МАНСИЙСКАЯ ТАМОЖНЯ</w:t>
            </w:r>
          </w:p>
        </w:tc>
      </w:tr>
      <w:tr w:rsidR="00575524" w:rsidRPr="009B2FB7" w:rsidTr="009B2FB7">
        <w:trPr>
          <w:trHeight w:val="311"/>
        </w:trPr>
        <w:tc>
          <w:tcPr>
            <w:tcW w:w="4835" w:type="dxa"/>
            <w:shd w:val="clear" w:color="auto" w:fill="auto"/>
            <w:noWrap/>
            <w:vAlign w:val="center"/>
            <w:hideMark/>
          </w:tcPr>
          <w:p w:rsidR="00575524" w:rsidRPr="009B2FB7" w:rsidRDefault="00575524" w:rsidP="009B2FB7">
            <w:pPr>
              <w:rPr>
                <w:color w:val="000000"/>
                <w:sz w:val="22"/>
                <w:szCs w:val="22"/>
              </w:rPr>
            </w:pPr>
            <w:r w:rsidRPr="009B2FB7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575524" w:rsidRDefault="00575524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Х572ТМ 86</w:t>
            </w:r>
          </w:p>
        </w:tc>
      </w:tr>
    </w:tbl>
    <w:p w:rsidR="00585277" w:rsidRDefault="00585277" w:rsidP="00585277">
      <w:pPr>
        <w:tabs>
          <w:tab w:val="left" w:pos="993"/>
        </w:tabs>
        <w:ind w:firstLine="567"/>
        <w:jc w:val="both"/>
        <w:rPr>
          <w:u w:val="single"/>
        </w:rPr>
      </w:pPr>
    </w:p>
    <w:permEnd w:id="2099792960"/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126306171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126306171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</w:t>
      </w:r>
      <w:r w:rsidR="00DC731E" w:rsidRPr="008C1C75">
        <w:lastRenderedPageBreak/>
        <w:t>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457877815" w:edGrp="everyone"/>
      <w:r w:rsidR="00DC731E" w:rsidRPr="008C1C75">
        <w:t>10 (десяти)</w:t>
      </w:r>
      <w:permEnd w:id="1457877815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у Продавца по Акту </w:t>
      </w:r>
      <w:r w:rsidR="009D7A2F" w:rsidRPr="008C1C75">
        <w:t>о приеме-передаче</w:t>
      </w:r>
      <w:r w:rsidR="00582BD9" w:rsidRPr="008C1C75">
        <w:t xml:space="preserve"> в течение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720857255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720857255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2113106444" w:edGrp="everyone"/>
      <w:r>
        <w:t>6.</w:t>
      </w:r>
      <w:r w:rsidR="00E53DE7" w:rsidRPr="008C1C75">
        <w:t>3</w:t>
      </w:r>
      <w:r w:rsidR="003360A3" w:rsidRPr="008C1C75">
        <w:t>.</w:t>
      </w:r>
      <w:permEnd w:id="2113106444"/>
      <w:r w:rsidR="003360A3" w:rsidRPr="008C1C75">
        <w:tab/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640624209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640624209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244982956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244982956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2085967330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2085967330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271649081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271649081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302540877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302540877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  <w:sz w:val="22"/>
              </w:rPr>
            </w:pPr>
            <w:permStart w:id="2058318598" w:edGrp="everyone" w:colFirst="1" w:colLast="1"/>
            <w:r w:rsidRPr="008C1C75">
              <w:rPr>
                <w:b/>
                <w:sz w:val="22"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1805017583" w:edGrp="everyone" w:colFirst="1" w:colLast="1"/>
            <w:permStart w:id="1315970501" w:edGrp="everyone" w:colFirst="0" w:colLast="0"/>
            <w:permEnd w:id="2058318598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883844831" w:edGrp="everyone" w:colFirst="1" w:colLast="1"/>
            <w:permStart w:id="159726909" w:edGrp="everyone" w:colFirst="0" w:colLast="0"/>
            <w:permEnd w:id="1805017583"/>
            <w:permEnd w:id="1315970501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>(должность подписанта)</w:t>
            </w:r>
          </w:p>
        </w:tc>
      </w:tr>
      <w:permEnd w:id="883844831"/>
      <w:permEnd w:id="159726909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7130739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7130739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833112580" w:edGrp="everyone"/>
            <w:r w:rsidRPr="008C1C75">
              <w:rPr>
                <w:b/>
                <w:bCs/>
              </w:rPr>
              <w:t>___________________ (Ф.И.О.)</w:t>
            </w:r>
            <w:permEnd w:id="833112580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15" w:rsidRDefault="00AB5115">
      <w:r>
        <w:separator/>
      </w:r>
    </w:p>
  </w:endnote>
  <w:endnote w:type="continuationSeparator" w:id="0">
    <w:p w:rsidR="00AB5115" w:rsidRDefault="00AB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75602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6029">
      <w:rPr>
        <w:rStyle w:val="a9"/>
        <w:noProof/>
      </w:rPr>
      <w:t>3</w:t>
    </w:r>
    <w:r>
      <w:rPr>
        <w:rStyle w:val="a9"/>
      </w:rPr>
      <w:fldChar w:fldCharType="end"/>
    </w:r>
  </w:p>
  <w:p w:rsidR="00EF1F2D" w:rsidRDefault="0075602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15" w:rsidRDefault="00AB5115">
      <w:r>
        <w:separator/>
      </w:r>
    </w:p>
  </w:footnote>
  <w:footnote w:type="continuationSeparator" w:id="0">
    <w:p w:rsidR="00AB5115" w:rsidRDefault="00AB5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DD79E5" w:rsidP="00DD79E5">
    <w:pPr>
      <w:pStyle w:val="ac"/>
      <w:jc w:val="right"/>
    </w:pPr>
    <w:r w:rsidRPr="00BE3F8B">
      <w:rPr>
        <w:b/>
        <w:sz w:val="22"/>
        <w:szCs w:val="22"/>
      </w:rPr>
      <w:t xml:space="preserve">Форма </w:t>
    </w:r>
    <w:r w:rsidR="00756029">
      <w:rPr>
        <w:b/>
        <w:sz w:val="22"/>
        <w:szCs w:val="22"/>
      </w:rPr>
      <w:t>3</w:t>
    </w:r>
    <w:r w:rsidRPr="00BE3F8B">
      <w:rPr>
        <w:b/>
        <w:sz w:val="22"/>
        <w:szCs w:val="22"/>
      </w:rPr>
      <w:t xml:space="preserve"> «</w:t>
    </w:r>
    <w:r>
      <w:rPr>
        <w:b/>
        <w:sz w:val="22"/>
        <w:szCs w:val="22"/>
      </w:rPr>
      <w:t>Договор</w:t>
    </w:r>
    <w:r w:rsidRPr="00BE3F8B">
      <w:rPr>
        <w:b/>
        <w:sz w:val="22"/>
        <w:szCs w:val="22"/>
      </w:rPr>
      <w:t>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75524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56029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B5115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143AA-242A-4CCC-BED4-059AA7D41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9</cp:revision>
  <cp:lastPrinted>2016-02-05T07:07:00Z</cp:lastPrinted>
  <dcterms:created xsi:type="dcterms:W3CDTF">2016-01-12T04:23:00Z</dcterms:created>
  <dcterms:modified xsi:type="dcterms:W3CDTF">2016-02-05T07:10:00Z</dcterms:modified>
</cp:coreProperties>
</file>