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DE1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«О созыве общего собрания акционеров эмитента»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9D2946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9D2946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D4610E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ид общего собрания 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Внеочередное общее собрание акционеров.</w:t>
            </w:r>
          </w:p>
          <w:p w:rsidR="00D4610E" w:rsidRPr="0054612C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Ф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орма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акционеров эмитента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294C">
              <w:rPr>
                <w:rFonts w:ascii="Times New Roman" w:hAnsi="Times New Roman"/>
                <w:sz w:val="26"/>
                <w:szCs w:val="26"/>
              </w:rPr>
              <w:t>Совместное присутствие</w:t>
            </w:r>
            <w:r w:rsidR="0006294C" w:rsidRPr="004A5253">
              <w:rPr>
                <w:rFonts w:ascii="Times New Roman" w:hAnsi="Times New Roman"/>
                <w:sz w:val="26"/>
                <w:szCs w:val="26"/>
              </w:rPr>
              <w:t xml:space="preserve"> акционеров ОАО «НГК «</w:t>
            </w:r>
            <w:proofErr w:type="spellStart"/>
            <w:r w:rsidR="0006294C"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="0006294C" w:rsidRPr="004A5253">
              <w:rPr>
                <w:rFonts w:ascii="Times New Roman" w:hAnsi="Times New Roman"/>
                <w:sz w:val="26"/>
                <w:szCs w:val="26"/>
              </w:rPr>
              <w:t>»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общего собрания акционеров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10E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Д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ата, место, время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общего собрания 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акционеров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эмитента: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10E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53">
              <w:rPr>
                <w:rFonts w:ascii="Times New Roman" w:hAnsi="Times New Roman"/>
                <w:sz w:val="26"/>
                <w:szCs w:val="26"/>
              </w:rPr>
              <w:t>30 ноября 2017 года в 12-00 часов по адресу: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4A5253">
              <w:rPr>
                <w:rFonts w:ascii="Times New Roman" w:hAnsi="Times New Roman"/>
                <w:sz w:val="26"/>
                <w:szCs w:val="26"/>
              </w:rPr>
              <w:t xml:space="preserve"> Москва, Новослободская ул., д. 23, 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Novotel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>, этаж 2, зал «Вашингтон».</w:t>
            </w:r>
          </w:p>
          <w:p w:rsidR="00D4610E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очтовый адрес, по которому могут, а в случаях, предусмотренных федеральным законом, - должны направляться заполненные бюллетени для голосовани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</w:t>
            </w:r>
            <w:r w:rsidR="0006294C" w:rsidRPr="004A5253">
              <w:rPr>
                <w:rFonts w:ascii="Times New Roman" w:hAnsi="Times New Roman"/>
                <w:sz w:val="26"/>
                <w:szCs w:val="26"/>
              </w:rPr>
              <w:t>125047, г. Москва, 4-й Лесной пер., дом 4, ОАО «НГК «</w:t>
            </w:r>
            <w:proofErr w:type="spellStart"/>
            <w:r w:rsidR="0006294C"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="0006294C" w:rsidRPr="004A5253">
              <w:rPr>
                <w:rFonts w:ascii="Times New Roman" w:hAnsi="Times New Roman"/>
                <w:sz w:val="26"/>
                <w:szCs w:val="26"/>
              </w:rPr>
              <w:t>» с пометкой «Собрание акционеров».</w:t>
            </w:r>
          </w:p>
          <w:p w:rsidR="0006294C" w:rsidRPr="0006294C" w:rsidRDefault="00D4610E" w:rsidP="00BB77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В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ремя начала регистрации лиц, принимающих участ</w:t>
            </w:r>
            <w:r w:rsidR="0006294C">
              <w:rPr>
                <w:rFonts w:ascii="Times New Roman" w:hAnsi="Times New Roman" w:cs="Times New Roman"/>
                <w:sz w:val="24"/>
                <w:szCs w:val="24"/>
              </w:rPr>
              <w:t xml:space="preserve">ие в общем собрании 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акционеров эмитента</w:t>
            </w:r>
            <w:r w:rsidR="0006294C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="0006294C" w:rsidRPr="0006294C">
              <w:rPr>
                <w:rFonts w:ascii="Times New Roman" w:hAnsi="Times New Roman" w:cs="Times New Roman"/>
                <w:sz w:val="24"/>
                <w:szCs w:val="24"/>
              </w:rPr>
              <w:t xml:space="preserve"> 11-00 часов 30 ноября 2017 года. Регистрация лиц, имеющих право на участие во внеочередном общем собрании акционеров, заканчивается после завершения </w:t>
            </w:r>
            <w:proofErr w:type="gramStart"/>
            <w:r w:rsidR="0006294C" w:rsidRPr="0006294C">
              <w:rPr>
                <w:rFonts w:ascii="Times New Roman" w:hAnsi="Times New Roman" w:cs="Times New Roman"/>
                <w:sz w:val="24"/>
                <w:szCs w:val="24"/>
              </w:rPr>
              <w:t>обсуждения последнего вопроса повестки дня общего собрания</w:t>
            </w:r>
            <w:proofErr w:type="gramEnd"/>
            <w:r w:rsidR="0006294C" w:rsidRPr="0006294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акционеров, по которому имеется кворум, и до начала времени, которое предоставляется для голосования лицам, не проголосовавшим до этого момента.</w:t>
            </w:r>
          </w:p>
          <w:p w:rsidR="0006294C" w:rsidRPr="004A5253" w:rsidRDefault="00D4610E" w:rsidP="00BB773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Д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ата окончания приема бюллетеней для голосования</w:t>
            </w:r>
            <w:r w:rsidR="000629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294C">
              <w:rPr>
                <w:rFonts w:ascii="Times New Roman" w:hAnsi="Times New Roman"/>
                <w:sz w:val="26"/>
                <w:szCs w:val="26"/>
              </w:rPr>
              <w:t>Н</w:t>
            </w:r>
            <w:r w:rsidR="0006294C" w:rsidRPr="004A5253">
              <w:rPr>
                <w:rFonts w:ascii="Times New Roman" w:hAnsi="Times New Roman"/>
                <w:sz w:val="26"/>
                <w:szCs w:val="26"/>
              </w:rPr>
              <w:t>е позднее 18-00 часов 27</w:t>
            </w:r>
            <w:r w:rsidR="0006294C">
              <w:rPr>
                <w:rFonts w:ascii="Times New Roman" w:hAnsi="Times New Roman"/>
                <w:sz w:val="26"/>
                <w:szCs w:val="26"/>
              </w:rPr>
              <w:t> </w:t>
            </w:r>
            <w:r w:rsidR="0006294C" w:rsidRPr="004A5253">
              <w:rPr>
                <w:rFonts w:ascii="Times New Roman" w:hAnsi="Times New Roman"/>
                <w:sz w:val="26"/>
                <w:szCs w:val="26"/>
              </w:rPr>
              <w:t>ноября 2017 года.</w:t>
            </w:r>
          </w:p>
          <w:p w:rsidR="00D4610E" w:rsidRPr="0054612C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Д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 xml:space="preserve">ата составления списка лиц, имеющих право на участие в общем собрании </w:t>
            </w:r>
            <w:r w:rsidR="0006294C">
              <w:rPr>
                <w:rFonts w:ascii="Times New Roman" w:hAnsi="Times New Roman" w:cs="Times New Roman"/>
                <w:sz w:val="24"/>
                <w:szCs w:val="24"/>
              </w:rPr>
              <w:t>акционеров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</w:t>
            </w:r>
            <w:r w:rsidR="000629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4FB2">
              <w:rPr>
                <w:rFonts w:ascii="Times New Roman" w:hAnsi="Times New Roman"/>
                <w:sz w:val="26"/>
                <w:szCs w:val="26"/>
              </w:rPr>
              <w:t>0</w:t>
            </w:r>
            <w:r w:rsidR="00344FB2" w:rsidRPr="004A5253">
              <w:rPr>
                <w:rFonts w:ascii="Times New Roman" w:hAnsi="Times New Roman"/>
                <w:sz w:val="26"/>
                <w:szCs w:val="26"/>
              </w:rPr>
              <w:t>6 октября 2017 года (конец операционного дня).</w:t>
            </w:r>
          </w:p>
          <w:p w:rsidR="00344FB2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П</w:t>
            </w:r>
            <w:r w:rsidR="00BB773F">
              <w:rPr>
                <w:rFonts w:ascii="Times New Roman" w:hAnsi="Times New Roman" w:cs="Times New Roman"/>
                <w:sz w:val="24"/>
                <w:szCs w:val="24"/>
              </w:rPr>
              <w:t xml:space="preserve">овестка дня общего собрания </w:t>
            </w:r>
            <w:r w:rsidR="00344FB2">
              <w:rPr>
                <w:rFonts w:ascii="Times New Roman" w:hAnsi="Times New Roman" w:cs="Times New Roman"/>
                <w:sz w:val="24"/>
                <w:szCs w:val="24"/>
              </w:rPr>
              <w:t>акционеров эмитента:</w:t>
            </w:r>
          </w:p>
          <w:p w:rsidR="00344FB2" w:rsidRDefault="00344FB2" w:rsidP="00BB773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253">
              <w:rPr>
                <w:rFonts w:ascii="Times New Roman" w:hAnsi="Times New Roman"/>
                <w:sz w:val="26"/>
                <w:szCs w:val="26"/>
              </w:rPr>
              <w:t>1)</w:t>
            </w:r>
            <w:r w:rsidRPr="004A5253">
              <w:rPr>
                <w:rFonts w:ascii="Times New Roman" w:hAnsi="Times New Roman"/>
                <w:sz w:val="26"/>
                <w:szCs w:val="26"/>
              </w:rPr>
              <w:tab/>
              <w:t>Досрочное прекращение полномочий членов Совета директоров ОАО «НГК «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344FB2" w:rsidRPr="004A5253" w:rsidRDefault="00344FB2" w:rsidP="00BB773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253">
              <w:rPr>
                <w:rFonts w:ascii="Times New Roman" w:hAnsi="Times New Roman"/>
                <w:sz w:val="26"/>
                <w:szCs w:val="26"/>
              </w:rPr>
              <w:t>2)</w:t>
            </w:r>
            <w:r w:rsidRPr="004A5253">
              <w:rPr>
                <w:rFonts w:ascii="Times New Roman" w:hAnsi="Times New Roman"/>
                <w:sz w:val="26"/>
                <w:szCs w:val="26"/>
              </w:rPr>
              <w:tab/>
              <w:t>Избрание членов Совета директоров ОАО «НГК «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4610E" w:rsidRDefault="00D4610E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П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>орядок ознакомления с информацией (материалами), подлежащей (подлежащими) предоставлению при подготовке к проведе</w:t>
            </w:r>
            <w:r w:rsidR="00344FB2">
              <w:rPr>
                <w:rFonts w:ascii="Times New Roman" w:hAnsi="Times New Roman" w:cs="Times New Roman"/>
                <w:sz w:val="24"/>
                <w:szCs w:val="24"/>
              </w:rPr>
              <w:t>нию общего собрания акционеров</w:t>
            </w:r>
            <w:r w:rsidRPr="0054612C">
              <w:rPr>
                <w:rFonts w:ascii="Times New Roman" w:hAnsi="Times New Roman" w:cs="Times New Roman"/>
                <w:sz w:val="24"/>
                <w:szCs w:val="24"/>
              </w:rPr>
              <w:t xml:space="preserve"> эмитента, и адрес (адреса), по которому (ко</w:t>
            </w:r>
            <w:r w:rsidR="00344FB2">
              <w:rPr>
                <w:rFonts w:ascii="Times New Roman" w:hAnsi="Times New Roman" w:cs="Times New Roman"/>
                <w:sz w:val="24"/>
                <w:szCs w:val="24"/>
              </w:rPr>
              <w:t>торым) с ней можно ознакомиться:</w:t>
            </w:r>
          </w:p>
          <w:p w:rsidR="00344FB2" w:rsidRPr="0054612C" w:rsidRDefault="00344FB2" w:rsidP="00BB7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253">
              <w:rPr>
                <w:rFonts w:ascii="Times New Roman" w:hAnsi="Times New Roman"/>
                <w:sz w:val="26"/>
                <w:szCs w:val="26"/>
              </w:rPr>
              <w:t>Информацию (материалы), предоставляемую лицам, указанным в списке лиц, имеющих право на участие во внеочередном общем собрании акционеров ОАО «НГК «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>», разместить на сайте ОАО «НГК «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hyperlink r:id="rId9" w:history="1">
              <w:proofErr w:type="gramEnd"/>
              <w:r w:rsidRPr="004A5253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www.</w:t>
              </w:r>
              <w:r w:rsidRPr="004A5253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slavneft</w:t>
              </w:r>
              <w:r w:rsidRPr="004A5253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4A5253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proofErr w:type="gramStart"/>
            </w:hyperlink>
            <w:r w:rsidRPr="004A5253">
              <w:rPr>
                <w:rFonts w:ascii="Times New Roman" w:hAnsi="Times New Roman"/>
                <w:sz w:val="26"/>
                <w:szCs w:val="26"/>
              </w:rPr>
              <w:t xml:space="preserve"> в информационно-телекоммуникационной сети «Интернет» не позднее 09 ноября 2017 года, а также предоставить лицам, имеющим право на участие во внеочередном общем собрании акционеров ОАО «НГК «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>» возможность ознакомления с материалами с</w:t>
            </w:r>
            <w:proofErr w:type="gramEnd"/>
            <w:r w:rsidRPr="004A5253">
              <w:rPr>
                <w:rFonts w:ascii="Times New Roman" w:hAnsi="Times New Roman"/>
                <w:sz w:val="26"/>
                <w:szCs w:val="26"/>
              </w:rPr>
              <w:t xml:space="preserve"> 10 ноября 2017 года по 29 ноября 2017 года в рабочие дни с 10-00 часов до 16-00 часов по московскому времени по адресам: г. Москва, 4-й Лесной пер., дом 4, офис ОАО «НГК «</w:t>
            </w:r>
            <w:proofErr w:type="spellStart"/>
            <w:r w:rsidRPr="004A5253">
              <w:rPr>
                <w:rFonts w:ascii="Times New Roman" w:hAnsi="Times New Roman"/>
                <w:sz w:val="26"/>
                <w:szCs w:val="26"/>
              </w:rPr>
              <w:t>Славнефть</w:t>
            </w:r>
            <w:proofErr w:type="spellEnd"/>
            <w:r w:rsidRPr="004A5253">
              <w:rPr>
                <w:rFonts w:ascii="Times New Roman" w:hAnsi="Times New Roman"/>
                <w:sz w:val="26"/>
                <w:szCs w:val="26"/>
              </w:rPr>
              <w:t>» /тел. (495) 787 82 18/; г. Москва, ул. Стромынка, дом 18, корп. 13, АО «Регистратор Р.О.С.Т.» /тел.(495) 771 73 35/, а также 30 ноября 2017 года по месту проведения собрания.</w:t>
            </w:r>
          </w:p>
          <w:p w:rsidR="00B440FC" w:rsidRPr="00FE0320" w:rsidRDefault="004C1963" w:rsidP="00BB773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 xml:space="preserve">2.9. Идентификационные признаки акций, владельцы которых имеют право на участие в общем собрании акционеров эмитента: </w:t>
            </w:r>
          </w:p>
          <w:p w:rsidR="004C1963" w:rsidRPr="00FE0320" w:rsidRDefault="004C1963" w:rsidP="00BB773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E0320">
              <w:rPr>
                <w:rFonts w:ascii="Times New Roman" w:hAnsi="Times New Roman"/>
                <w:sz w:val="25"/>
                <w:szCs w:val="25"/>
              </w:rPr>
              <w:t>Акции обыкновенные именные бездокументарные, государственный рег</w:t>
            </w:r>
            <w:r w:rsidR="00FE0320" w:rsidRPr="00FE0320">
              <w:rPr>
                <w:rFonts w:ascii="Times New Roman" w:hAnsi="Times New Roman"/>
                <w:sz w:val="25"/>
                <w:szCs w:val="25"/>
              </w:rPr>
              <w:t>истрационный номер 1-01-00221-А. Дата государственной регистрации: 07.08.1995; 22.11.1995; 30.05.1996.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8"/>
        <w:gridCol w:w="536"/>
        <w:gridCol w:w="1307"/>
        <w:gridCol w:w="411"/>
        <w:gridCol w:w="307"/>
        <w:gridCol w:w="542"/>
        <w:gridCol w:w="1818"/>
        <w:gridCol w:w="825"/>
        <w:gridCol w:w="1264"/>
        <w:gridCol w:w="418"/>
        <w:gridCol w:w="47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57BA" w:rsidRPr="009B09C0" w:rsidRDefault="000757BA" w:rsidP="009B0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9B0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09C0" w:rsidRPr="009B09C0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 управления, реструктуризации и собственности.</w:t>
            </w:r>
          </w:p>
          <w:p w:rsidR="009B09C0" w:rsidRPr="009B09C0" w:rsidRDefault="009B09C0" w:rsidP="009B0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15.12.2016 № МО-2143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9B09C0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D7B57" w:rsidP="009D294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B0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29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EA4792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946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7328B"/>
    <w:rsid w:val="001A2B4C"/>
    <w:rsid w:val="001D7B57"/>
    <w:rsid w:val="00246E68"/>
    <w:rsid w:val="002759BF"/>
    <w:rsid w:val="002C22AE"/>
    <w:rsid w:val="002E6B82"/>
    <w:rsid w:val="00323D6C"/>
    <w:rsid w:val="00335B01"/>
    <w:rsid w:val="00336A5D"/>
    <w:rsid w:val="00344FB2"/>
    <w:rsid w:val="003E5137"/>
    <w:rsid w:val="004162F2"/>
    <w:rsid w:val="00480D0A"/>
    <w:rsid w:val="004C1963"/>
    <w:rsid w:val="004E5AD2"/>
    <w:rsid w:val="006A35D5"/>
    <w:rsid w:val="006D3E63"/>
    <w:rsid w:val="00715754"/>
    <w:rsid w:val="007F485D"/>
    <w:rsid w:val="007F69F4"/>
    <w:rsid w:val="008C7A7B"/>
    <w:rsid w:val="00915D83"/>
    <w:rsid w:val="009B09C0"/>
    <w:rsid w:val="009D2946"/>
    <w:rsid w:val="009D66E9"/>
    <w:rsid w:val="00A00269"/>
    <w:rsid w:val="00A85B4A"/>
    <w:rsid w:val="00AB1562"/>
    <w:rsid w:val="00B440FC"/>
    <w:rsid w:val="00BB773F"/>
    <w:rsid w:val="00BC028F"/>
    <w:rsid w:val="00BC209D"/>
    <w:rsid w:val="00C329D0"/>
    <w:rsid w:val="00C40226"/>
    <w:rsid w:val="00CA1063"/>
    <w:rsid w:val="00CB07C0"/>
    <w:rsid w:val="00D4610E"/>
    <w:rsid w:val="00D83FBB"/>
    <w:rsid w:val="00DE1626"/>
    <w:rsid w:val="00DF3172"/>
    <w:rsid w:val="00E2557C"/>
    <w:rsid w:val="00EA4792"/>
    <w:rsid w:val="00EE3E89"/>
    <w:rsid w:val="00F90D50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2017-09-27T11:56:00Z</cp:lastPrinted>
  <dcterms:created xsi:type="dcterms:W3CDTF">2017-09-27T11:01:00Z</dcterms:created>
  <dcterms:modified xsi:type="dcterms:W3CDTF">2017-09-28T12:42:00Z</dcterms:modified>
</cp:coreProperties>
</file>