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эмитента, указываются:</w:t>
      </w:r>
    </w:p>
    <w:p w:rsidR="00FF395E" w:rsidRPr="00A37A62" w:rsidRDefault="00FF395E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A62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 эмитента;</w:t>
      </w:r>
    </w:p>
    <w:p w:rsidR="00FF395E" w:rsidRPr="00A37A62" w:rsidRDefault="00FF395E" w:rsidP="00A3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A62"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исполнительного органа эмитента и о досрочном прекращении (приостановлении) его полномочий;</w:t>
      </w:r>
    </w:p>
    <w:p w:rsidR="00FF395E" w:rsidRPr="00A37A62" w:rsidRDefault="00FF395E" w:rsidP="00A3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A6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повестки дня общего собрания акционеров эмитента, являющегося хозяйственным обществом, а также об иных решениях, связанных с подготовкой, созывом и проведением общего собрания акционеров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такого эмитента»</w:t>
      </w:r>
      <w:r w:rsidR="00A37A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BB360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BB360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A8253A" w:rsidRDefault="005266EF" w:rsidP="002C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К</w:t>
            </w:r>
            <w:r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>ворум заседания совета директоров эмитента</w:t>
            </w:r>
            <w:r w:rsidR="00A825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7A62" w:rsidRPr="00AA5B3A" w:rsidRDefault="00A37A62" w:rsidP="002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68 ФЗ «Об акционерных обществах» и пунктом 8.10 Устава ОАО «НГК «</w:t>
            </w:r>
            <w:proofErr w:type="spellStart"/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5266EF" w:rsidRDefault="00A8253A" w:rsidP="002C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 Р</w:t>
            </w:r>
            <w:r w:rsidR="005266EF"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 принятии решений:</w:t>
            </w:r>
          </w:p>
          <w:p w:rsidR="00A37A62" w:rsidRPr="00AA5B3A" w:rsidRDefault="00A37A62" w:rsidP="002C2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 с п. 8.12 Устава ОАО «НГК «</w:t>
            </w:r>
            <w:proofErr w:type="spellStart"/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»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всем вопросам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повестки дня данного заседания совета директоров</w:t>
            </w:r>
            <w:proofErr w:type="gramEnd"/>
            <w:r w:rsid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принято.</w:t>
            </w:r>
          </w:p>
          <w:p w:rsidR="00772BB0" w:rsidRDefault="00A8253A" w:rsidP="0077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С</w:t>
            </w:r>
            <w:r w:rsidR="005266EF"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одержание решений, принятых советом директоров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эмитента:</w:t>
            </w:r>
          </w:p>
          <w:p w:rsidR="00AA5B3A" w:rsidRPr="00772BB0" w:rsidRDefault="00772BB0" w:rsidP="0077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5B3A" w:rsidRPr="00772BB0">
              <w:rPr>
                <w:rFonts w:ascii="Times New Roman" w:hAnsi="Times New Roman"/>
                <w:spacing w:val="-12"/>
                <w:sz w:val="24"/>
                <w:szCs w:val="24"/>
              </w:rPr>
              <w:t>опрос 1</w:t>
            </w:r>
            <w:r w:rsidRPr="00772BB0">
              <w:rPr>
                <w:rFonts w:ascii="Times New Roman" w:hAnsi="Times New Roman"/>
                <w:spacing w:val="-12"/>
                <w:sz w:val="24"/>
                <w:szCs w:val="24"/>
              </w:rPr>
              <w:t>:</w:t>
            </w:r>
            <w:r w:rsidR="00AA5B3A" w:rsidRPr="00E6683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«Избрание председательствующего на заседании Совета директоров ОАО «НГК «</w:t>
            </w:r>
            <w:proofErr w:type="spellStart"/>
            <w:r w:rsidR="00AA5B3A" w:rsidRPr="00E6683E">
              <w:rPr>
                <w:rFonts w:ascii="Times New Roman" w:hAnsi="Times New Roman"/>
                <w:spacing w:val="-12"/>
                <w:sz w:val="24"/>
                <w:szCs w:val="24"/>
              </w:rPr>
              <w:t>Славнефть</w:t>
            </w:r>
            <w:proofErr w:type="spellEnd"/>
            <w:r w:rsidR="00AA5B3A" w:rsidRPr="00E6683E">
              <w:rPr>
                <w:rFonts w:ascii="Times New Roman" w:hAnsi="Times New Roman"/>
                <w:spacing w:val="-1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».</w:t>
            </w:r>
          </w:p>
          <w:p w:rsidR="00AA5B3A" w:rsidRPr="00E6683E" w:rsidRDefault="00AA5B3A" w:rsidP="002C2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6683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Принятое решение:</w:t>
            </w:r>
          </w:p>
          <w:p w:rsidR="00AA5B3A" w:rsidRPr="00E6683E" w:rsidRDefault="00AA5B3A" w:rsidP="002C202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Яковлева Вадима Владиславовича.</w:t>
            </w:r>
          </w:p>
          <w:p w:rsidR="00AA5B3A" w:rsidRPr="00E6683E" w:rsidRDefault="00772BB0" w:rsidP="00772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B0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AA5B3A" w:rsidRPr="00772BB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72BB0">
              <w:rPr>
                <w:rFonts w:ascii="Times New Roman" w:hAnsi="Times New Roman"/>
                <w:sz w:val="24"/>
                <w:szCs w:val="24"/>
              </w:rPr>
              <w:t>: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 xml:space="preserve"> «О составе Правления ОАО «НГК «</w:t>
            </w:r>
            <w:proofErr w:type="spellStart"/>
            <w:r w:rsidR="00AA5B3A"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A5B3A" w:rsidRPr="00E668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772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6683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Принятое решение:</w:t>
            </w:r>
          </w:p>
          <w:p w:rsidR="00AA5B3A" w:rsidRPr="00E6683E" w:rsidRDefault="00AA5B3A" w:rsidP="00772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Досрочно прекратить полномочия члена Правления ОАО</w:t>
            </w:r>
            <w:r w:rsidR="002C2023" w:rsidRP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2C2023" w:rsidRP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Алексея Валентиновича.</w:t>
            </w:r>
          </w:p>
          <w:p w:rsidR="00AA5B3A" w:rsidRDefault="00AA5B3A" w:rsidP="002C2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2.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количественный состав Правления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в количестве 3 человек.</w:t>
            </w:r>
          </w:p>
          <w:p w:rsidR="00E6683E" w:rsidRPr="00E6683E" w:rsidRDefault="00E6683E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В случае принятия советом директоров эмитента решений об образовании коллегиального исполнительных органов эмитента, по каждому лицу дополнительно указываются:</w:t>
            </w:r>
          </w:p>
          <w:p w:rsidR="00E6683E" w:rsidRPr="00E6683E" w:rsidRDefault="00772BB0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6683E" w:rsidRPr="00E6683E">
              <w:rPr>
                <w:rFonts w:ascii="Times New Roman" w:hAnsi="Times New Roman"/>
                <w:sz w:val="24"/>
                <w:szCs w:val="24"/>
              </w:rPr>
              <w:t xml:space="preserve">амилия, имя, отчество соответствующего лица: </w:t>
            </w:r>
            <w:proofErr w:type="spellStart"/>
            <w:r w:rsidR="00E6683E" w:rsidRPr="00E6683E">
              <w:rPr>
                <w:rFonts w:ascii="Times New Roman" w:hAnsi="Times New Roman"/>
                <w:sz w:val="24"/>
                <w:szCs w:val="24"/>
              </w:rPr>
              <w:t>Буреев</w:t>
            </w:r>
            <w:proofErr w:type="spellEnd"/>
            <w:r w:rsidR="00E6683E" w:rsidRPr="00E6683E">
              <w:rPr>
                <w:rFonts w:ascii="Times New Roman" w:hAnsi="Times New Roman"/>
                <w:sz w:val="24"/>
                <w:szCs w:val="24"/>
              </w:rPr>
              <w:t xml:space="preserve"> Алексей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83E" w:rsidRPr="00E6683E" w:rsidRDefault="00E6683E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оля участия данного лица в уставном капитале эмитента: 0,00</w:t>
            </w:r>
            <w:r w:rsidR="00772B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83E" w:rsidRPr="00E6683E" w:rsidRDefault="00E6683E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Доля принадлежащих данному лицу обыкновенных акций эмитента, являющегося акционерным обществом: 0,00</w:t>
            </w:r>
            <w:r w:rsidR="00772B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B3A" w:rsidRPr="00E6683E" w:rsidRDefault="00772BB0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B0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AA5B3A" w:rsidRPr="00772BB0">
              <w:rPr>
                <w:rFonts w:ascii="Times New Roman" w:hAnsi="Times New Roman"/>
                <w:sz w:val="24"/>
                <w:szCs w:val="24"/>
              </w:rPr>
              <w:t> 3</w:t>
            </w:r>
            <w:r w:rsidRPr="00772BB0">
              <w:rPr>
                <w:rFonts w:ascii="Times New Roman" w:hAnsi="Times New Roman"/>
                <w:sz w:val="24"/>
                <w:szCs w:val="24"/>
              </w:rPr>
              <w:t>: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 xml:space="preserve"> «Созыв внеочередного общего собрания акционеров ОАО «НГК «</w:t>
            </w:r>
            <w:proofErr w:type="spellStart"/>
            <w:r w:rsidR="00AA5B3A"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A5B3A" w:rsidRPr="00E668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E66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6683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Принятое решение</w:t>
            </w:r>
            <w:r w:rsidR="002C2023" w:rsidRPr="00E6683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3</w:t>
            </w:r>
            <w:r w:rsidRPr="00E6683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AA5B3A" w:rsidRPr="00E6683E" w:rsidRDefault="00E6683E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1.</w:t>
            </w:r>
            <w:r w:rsidR="00772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>Созвать внеочередное общее собрание а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кционеров ОАО</w:t>
            </w:r>
            <w:proofErr w:type="gramStart"/>
            <w:r w:rsidRPr="00E6683E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E6683E">
              <w:rPr>
                <w:rFonts w:ascii="Times New Roman" w:hAnsi="Times New Roman"/>
                <w:sz w:val="24"/>
                <w:szCs w:val="24"/>
              </w:rPr>
              <w:t>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lastRenderedPageBreak/>
              <w:t>его в форме собрания (совместного присутствия акционеров ОАО «НГК «</w:t>
            </w:r>
            <w:proofErr w:type="spellStart"/>
            <w:r w:rsidR="00AA5B3A"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A5B3A" w:rsidRPr="00E6683E">
              <w:rPr>
                <w:rFonts w:ascii="Times New Roman" w:hAnsi="Times New Roman"/>
                <w:sz w:val="24"/>
                <w:szCs w:val="24"/>
              </w:rPr>
              <w:t>»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общего собрания акционеров) 30 ноября 2017 года в 12-00 часов по адресу: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 xml:space="preserve">Москва, Новослободская ул., д. 23, </w:t>
            </w:r>
            <w:proofErr w:type="spellStart"/>
            <w:r w:rsidR="00AA5B3A" w:rsidRPr="00E6683E">
              <w:rPr>
                <w:rFonts w:ascii="Times New Roman" w:hAnsi="Times New Roman"/>
                <w:sz w:val="24"/>
                <w:szCs w:val="24"/>
              </w:rPr>
              <w:t>Novotel</w:t>
            </w:r>
            <w:proofErr w:type="spellEnd"/>
            <w:r w:rsidR="00AA5B3A" w:rsidRPr="00E6683E">
              <w:rPr>
                <w:rFonts w:ascii="Times New Roman" w:hAnsi="Times New Roman"/>
                <w:sz w:val="24"/>
                <w:szCs w:val="24"/>
              </w:rPr>
              <w:t>, этаж 2, зал «Вашингтон».</w:t>
            </w:r>
          </w:p>
          <w:p w:rsidR="00AA5B3A" w:rsidRPr="00E6683E" w:rsidRDefault="00E6683E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>Утвердить следующую повестку дня внеочередного общего собрания акционеров ОАО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A5B3A" w:rsidRPr="00E6683E">
              <w:rPr>
                <w:rFonts w:ascii="Times New Roman" w:hAnsi="Times New Roman"/>
                <w:sz w:val="24"/>
                <w:szCs w:val="24"/>
              </w:rPr>
              <w:t>«НГК «</w:t>
            </w:r>
            <w:proofErr w:type="spellStart"/>
            <w:r w:rsidR="00AA5B3A"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AA5B3A" w:rsidRPr="00E6683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1)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Досрочное прекращение полномочий членов Совета директоров ОАО «НГК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2)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Избрание членов Совета директоров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3.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время начала регистрации лиц, участвующих во внеочередном общем собрании акционеров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», - с 11-00 часов 30 ноября 2017 года. Регистрация лиц, имеющих право на участие во внеочередном общем собрании акционеров, заканчивается после завершения </w:t>
            </w:r>
            <w:proofErr w:type="gramStart"/>
            <w:r w:rsidRPr="00E6683E">
              <w:rPr>
                <w:rFonts w:ascii="Times New Roman" w:hAnsi="Times New Roman"/>
                <w:sz w:val="24"/>
                <w:szCs w:val="24"/>
              </w:rPr>
              <w:t>обсуждения последнего вопроса повестки дня общего собрания</w:t>
            </w:r>
            <w:proofErr w:type="gram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акционеров, по которому имеется кворум, и до начала времени, которое предоставляется для голосования лицам, не проголосовавшим до этого момента.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4.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 xml:space="preserve">Определить место проведения регистрации: г. Москва, Новослободская ул., д. 23, 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Novotel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, этаж 2, зал «Вашингтон».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5.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дату, на которую определяются (фиксируются) лица, имеющие право на участие во внеочередном общем собрании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- 06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октября 2017 года (конец операционного дня).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6.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Определить, что владельцы обыкновенных акций ОАО</w:t>
            </w:r>
            <w:proofErr w:type="gramStart"/>
            <w:r w:rsidRPr="00E6683E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E6683E">
              <w:rPr>
                <w:rFonts w:ascii="Times New Roman" w:hAnsi="Times New Roman"/>
                <w:sz w:val="24"/>
                <w:szCs w:val="24"/>
              </w:rPr>
              <w:t>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имеют право голоса по всем вопросам повестки дня внеочередного общего собрания акционеров.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7.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Утвердить текст информационного сообщения о проведении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8.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следующий порядок сообщения лицам, зарегистрированным в реестре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и имеющим право на участие во внеочередном общем собрании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о проведении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83E">
              <w:rPr>
                <w:rFonts w:ascii="Times New Roman" w:hAnsi="Times New Roman"/>
                <w:sz w:val="24"/>
                <w:szCs w:val="24"/>
              </w:rPr>
              <w:t>Сообщение о проведении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опубликовать в печатных изданиях «Известия» и «Советская Белоруссия» и письменно уведомить акционеров - владельцев более одного процента голосующих акций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а также дополнительно разместить на официальном сайте ОАО</w:t>
            </w:r>
            <w:r w:rsidRPr="00E6683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0" w:history="1">
              <w:proofErr w:type="gramEnd"/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</w:t>
              </w:r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slavneft</w:t>
              </w:r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proofErr w:type="gramStart"/>
            </w:hyperlink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не позднее 10 октября 2017 года и направить заказным письмом или вручить</w:t>
            </w:r>
            <w:proofErr w:type="gram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под роспись каждому лицу, зарегистрированному в реестре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и имеющему право на участие во внеочередном общем собрании акционеров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не позднее 09 ноября 2017 года.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9.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дату окончания приема предложений акционеров о выдвижении кандидатов для избрания в Совет директоров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»: не позднее 30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октября 2017 года.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10.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Бюллетени для голосования направить заказным письмом или вручить под роспись каждому лицу, зарегистрированному в реестре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и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имеющему право на участие во внеочередном общем собрании акционеров ОАО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не позднее 09 ноября 2017 года.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11.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дату окончания приема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бюллетеней для голосования: не позднее 18-00 часов 27 ноября 2017 года.</w:t>
            </w:r>
          </w:p>
          <w:p w:rsidR="00AA5B3A" w:rsidRPr="00E6683E" w:rsidRDefault="00AA5B3A" w:rsidP="00E668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12.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почтовый адрес, по которому могут направляться заполненные бюллетени: 125047, г. Москва, 4-й Лесной пер., дом 4,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с пометкой «Собрание акционеров».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13.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 следующий перечень информации (материалов), представляемой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», при подготовке к проведению внеочередного общего </w:t>
            </w:r>
            <w:r w:rsidRPr="00E6683E">
              <w:rPr>
                <w:rFonts w:ascii="Times New Roman" w:hAnsi="Times New Roman"/>
                <w:sz w:val="24"/>
                <w:szCs w:val="24"/>
              </w:rPr>
              <w:lastRenderedPageBreak/>
              <w:t>собрания акционеров ОАО 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AA5B3A" w:rsidRPr="00E6683E" w:rsidRDefault="00AA5B3A" w:rsidP="00E6683E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1)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информационное сообщение о проведении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A5B3A" w:rsidRPr="00E6683E" w:rsidRDefault="00AA5B3A" w:rsidP="00E6683E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2)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сведения о кандидатах в Совет директоров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и информация о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наличии либо отсутствии письменного согласия выдвинутых кандидатов на избрание в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Совет директоров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A5B3A" w:rsidRPr="00E6683E" w:rsidRDefault="00AA5B3A" w:rsidP="00E6683E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3)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проекты решений по вопросам повестки дня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14.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6683E">
              <w:rPr>
                <w:rFonts w:ascii="Times New Roman" w:hAnsi="Times New Roman"/>
                <w:sz w:val="24"/>
                <w:szCs w:val="24"/>
              </w:rPr>
              <w:t>Информацию (материалы), предоставляемую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», разместить на сайте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1" w:history="1">
              <w:proofErr w:type="gramEnd"/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</w:t>
              </w:r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slavneft</w:t>
              </w:r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668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proofErr w:type="gramStart"/>
            </w:hyperlink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66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 не позднее 09 ноября 2017 года, а также предоставить лицам, имеющим право на участие во внеочередном общем собрании акционеров ОАО 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возможность ознакомления с материалами с</w:t>
            </w:r>
            <w:proofErr w:type="gram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 10 ноября 2017 года по 29 ноября 2017 года в рабочие дни с 10-00 часов до 16-00 часов по московскому времени по адресам: г. Москва, 4-й Лесной пер., дом 4, офис ОАО «НГК 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/тел. (495) 787 82 18/; г. Москва, ул. Стромынка, дом 18, корп. 13, АО «Регистратор Р.О.С.Т.» /тел.(495) 771 73 35/, а также 30 ноября 2017 года по месту проведения собрания.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15.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Поручить ведение внеочередного общего собрания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члену Правления, вице-президенту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Трухачеву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 xml:space="preserve"> Андрею Николаевичу.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16.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Определить, что функции секретаря на внеочередном общем собрании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выполняет секретарь Совета директоров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Утробина Ольга Ивановна.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17.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Утвердить смету расходов на проведение внеочередного общего собрания акци</w:t>
            </w:r>
            <w:r w:rsidR="00BB360A">
              <w:rPr>
                <w:rFonts w:ascii="Times New Roman" w:hAnsi="Times New Roman"/>
                <w:sz w:val="24"/>
                <w:szCs w:val="24"/>
              </w:rPr>
              <w:t>онеров ОАО «НГК «</w:t>
            </w:r>
            <w:proofErr w:type="spellStart"/>
            <w:r w:rsidR="00BB360A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BB36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B3A" w:rsidRPr="00E6683E" w:rsidRDefault="00AA5B3A" w:rsidP="00E668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83E">
              <w:rPr>
                <w:rFonts w:ascii="Times New Roman" w:hAnsi="Times New Roman"/>
                <w:sz w:val="24"/>
                <w:szCs w:val="24"/>
              </w:rPr>
              <w:t>18.</w:t>
            </w:r>
            <w:r w:rsidRPr="00E6683E">
              <w:rPr>
                <w:rFonts w:ascii="Times New Roman" w:hAnsi="Times New Roman"/>
                <w:sz w:val="24"/>
                <w:szCs w:val="24"/>
              </w:rPr>
              <w:tab/>
              <w:t>Правлению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 обеспечить надлежащую организацию подготовки к внеочередному общему собранию акционеров ОАО «НГК «</w:t>
            </w:r>
            <w:proofErr w:type="spellStart"/>
            <w:r w:rsidRPr="00E6683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E668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266EF" w:rsidRPr="005266EF" w:rsidRDefault="00A8253A" w:rsidP="0077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Д</w:t>
            </w:r>
            <w:r w:rsidR="005266EF"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проведения заседания совета директоров эмитента, на котором приняты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решения:</w:t>
            </w:r>
            <w:r w:rsid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25.09.2017</w:t>
            </w:r>
            <w:r w:rsidR="00772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6EF" w:rsidRPr="005266EF" w:rsidRDefault="00A8253A" w:rsidP="0077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Д</w:t>
            </w:r>
            <w:r w:rsidR="005266EF"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составления и номер протокола заседания совета директоров эмитента, на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соответствующие решения:</w:t>
            </w:r>
            <w:r w:rsidR="00AA5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28.09.2017, протокол № 3.</w:t>
            </w:r>
          </w:p>
          <w:p w:rsidR="00D93310" w:rsidRDefault="00A8253A" w:rsidP="0077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r w:rsidR="00D933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66EF" w:rsidRPr="005266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дентификацион</w:t>
            </w:r>
            <w:r w:rsidR="00D9331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310" w:rsidRPr="004C0463">
              <w:rPr>
                <w:rFonts w:ascii="Times New Roman" w:hAnsi="Times New Roman"/>
                <w:sz w:val="24"/>
                <w:szCs w:val="24"/>
              </w:rPr>
              <w:t xml:space="preserve">акций, владельцы которых имеют право на участие в общем собрании акционеров эмитента: </w:t>
            </w:r>
          </w:p>
          <w:p w:rsidR="004C1963" w:rsidRPr="00FE0320" w:rsidRDefault="00772BB0" w:rsidP="00772BB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Акции обыкновенные именные бездокументарные, государственный регистрационный номер 1-01-00221-А. Дата государственной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8"/>
        <w:gridCol w:w="536"/>
        <w:gridCol w:w="1307"/>
        <w:gridCol w:w="411"/>
        <w:gridCol w:w="307"/>
        <w:gridCol w:w="542"/>
        <w:gridCol w:w="1818"/>
        <w:gridCol w:w="825"/>
        <w:gridCol w:w="1264"/>
        <w:gridCol w:w="418"/>
        <w:gridCol w:w="47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7BA" w:rsidRPr="009B09C0" w:rsidRDefault="000757BA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09C0" w:rsidRPr="009B09C0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собственности.</w:t>
            </w:r>
          </w:p>
          <w:p w:rsidR="009B09C0" w:rsidRPr="009B09C0" w:rsidRDefault="009B09C0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 № МО-2143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9B09C0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BB360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7C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36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EA4792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2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60A">
          <w:rPr>
            <w:noProof/>
          </w:rPr>
          <w:t>3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7328B"/>
    <w:rsid w:val="001A2B4C"/>
    <w:rsid w:val="001B7A24"/>
    <w:rsid w:val="001D7B57"/>
    <w:rsid w:val="00246E68"/>
    <w:rsid w:val="002759BF"/>
    <w:rsid w:val="002C2023"/>
    <w:rsid w:val="002C22AE"/>
    <w:rsid w:val="002E6B82"/>
    <w:rsid w:val="00323D6C"/>
    <w:rsid w:val="00335B01"/>
    <w:rsid w:val="00336A5D"/>
    <w:rsid w:val="00344FB2"/>
    <w:rsid w:val="00390BAF"/>
    <w:rsid w:val="003E5137"/>
    <w:rsid w:val="004162F2"/>
    <w:rsid w:val="00442A7D"/>
    <w:rsid w:val="00480D0A"/>
    <w:rsid w:val="004C1963"/>
    <w:rsid w:val="004E5AD2"/>
    <w:rsid w:val="005266EF"/>
    <w:rsid w:val="006A35D5"/>
    <w:rsid w:val="006D3E63"/>
    <w:rsid w:val="00715754"/>
    <w:rsid w:val="00772BB0"/>
    <w:rsid w:val="007F485D"/>
    <w:rsid w:val="007F69F4"/>
    <w:rsid w:val="008C7A7B"/>
    <w:rsid w:val="00915D83"/>
    <w:rsid w:val="009B09C0"/>
    <w:rsid w:val="009D66E9"/>
    <w:rsid w:val="00A00269"/>
    <w:rsid w:val="00A37A62"/>
    <w:rsid w:val="00A8253A"/>
    <w:rsid w:val="00A85B4A"/>
    <w:rsid w:val="00AA5B3A"/>
    <w:rsid w:val="00AB1562"/>
    <w:rsid w:val="00B440FC"/>
    <w:rsid w:val="00B73E91"/>
    <w:rsid w:val="00BB360A"/>
    <w:rsid w:val="00BB773F"/>
    <w:rsid w:val="00BC028F"/>
    <w:rsid w:val="00BC209D"/>
    <w:rsid w:val="00C329D0"/>
    <w:rsid w:val="00C40226"/>
    <w:rsid w:val="00CA1063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E3E89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av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v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2017-09-27T11:56:00Z</cp:lastPrinted>
  <dcterms:created xsi:type="dcterms:W3CDTF">2017-09-28T08:43:00Z</dcterms:created>
  <dcterms:modified xsi:type="dcterms:W3CDTF">2017-09-28T12:42:00Z</dcterms:modified>
</cp:coreProperties>
</file>