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F6E" w14:textId="77777777" w:rsidR="007F38C9" w:rsidRPr="005E1E05" w:rsidRDefault="00B41C26" w:rsidP="007F38C9">
      <w:pPr>
        <w:pStyle w:val="af3"/>
        <w:jc w:val="center"/>
        <w:rPr>
          <w:b/>
          <w:sz w:val="20"/>
          <w:szCs w:val="20"/>
        </w:rPr>
      </w:pPr>
      <w:r w:rsidRPr="005E1E05">
        <w:rPr>
          <w:b/>
          <w:sz w:val="20"/>
          <w:szCs w:val="20"/>
        </w:rPr>
        <w:t xml:space="preserve">Сообщение о существенном факте </w:t>
      </w:r>
    </w:p>
    <w:p w14:paraId="759885CF" w14:textId="77777777" w:rsidR="004E03C2" w:rsidRPr="005E1E05" w:rsidRDefault="004E03C2" w:rsidP="004E03C2">
      <w:pPr>
        <w:pStyle w:val="af3"/>
        <w:jc w:val="center"/>
        <w:rPr>
          <w:b/>
          <w:bCs/>
          <w:color w:val="0000FF"/>
          <w:szCs w:val="22"/>
        </w:rPr>
      </w:pPr>
      <w:r w:rsidRPr="005E1E05">
        <w:rPr>
          <w:b/>
          <w:sz w:val="20"/>
          <w:szCs w:val="20"/>
        </w:rPr>
        <w:t>«о начисленных (объявленных) доходах по ценным бумагам эмитента»</w:t>
      </w:r>
    </w:p>
    <w:p w14:paraId="55393F44" w14:textId="77777777" w:rsidR="00B15E08" w:rsidRPr="005E1E05" w:rsidRDefault="004E7458" w:rsidP="00B15E08">
      <w:pPr>
        <w:jc w:val="center"/>
        <w:rPr>
          <w:b/>
          <w:bCs/>
          <w:sz w:val="22"/>
          <w:szCs w:val="22"/>
        </w:rPr>
      </w:pPr>
      <w:r w:rsidRPr="005E1E0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5E1E05" w14:paraId="0B8EA963" w14:textId="77777777" w:rsidTr="008156A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5E1E05" w:rsidRDefault="00B15E08" w:rsidP="008156A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27597" w:rsidRPr="005E1E05" w14:paraId="58E2B41A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5B6D024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152E2BD9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E1E0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27597" w:rsidRPr="005E1E05" w14:paraId="5E33821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F3627F3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485A9334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27597" w:rsidRPr="005E1E05" w14:paraId="24DFF285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5EAD1F3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407342F4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27597" w:rsidRPr="005E1E05" w14:paraId="70BB5940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42217331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5C0B1BD3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27597" w:rsidRPr="005E1E05" w14:paraId="1788E1B4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3561A909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231374CE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27597" w:rsidRPr="005E1E05" w14:paraId="41F2868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68AA7CE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2F" w14:textId="797842E8" w:rsidR="00827597" w:rsidRPr="005E1E05" w:rsidRDefault="009D6DA0" w:rsidP="001964B9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53783" w:rsidRPr="005E1E05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27597" w:rsidRPr="005E1E05">
              <w:rPr>
                <w:b/>
                <w:i/>
                <w:sz w:val="20"/>
                <w:szCs w:val="20"/>
              </w:rPr>
              <w:t>;</w:t>
            </w:r>
          </w:p>
          <w:p w14:paraId="447E7244" w14:textId="776E9CAF" w:rsidR="00827597" w:rsidRPr="005E1E05" w:rsidRDefault="009D6DA0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27597" w:rsidRPr="005E1E05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27597" w:rsidRPr="005E1E05" w14:paraId="35124AFB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1F7742F0" w:rsidR="00827597" w:rsidRPr="005E1E05" w:rsidRDefault="00827597" w:rsidP="00827597">
            <w:pPr>
              <w:ind w:left="5" w:right="176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0A5DA026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17.</w:t>
            </w:r>
            <w:r w:rsidR="00531331">
              <w:rPr>
                <w:b/>
                <w:i/>
                <w:sz w:val="20"/>
                <w:szCs w:val="20"/>
              </w:rPr>
              <w:t>06</w:t>
            </w:r>
            <w:r w:rsidRPr="005E1E05">
              <w:rPr>
                <w:b/>
                <w:i/>
                <w:sz w:val="20"/>
                <w:szCs w:val="20"/>
              </w:rPr>
              <w:t>.202</w:t>
            </w:r>
            <w:r w:rsidR="00531331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7BFCBF5A" w14:textId="77777777" w:rsidR="00B15E08" w:rsidRPr="005E1E05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5E1E05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5E1E0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5E1E05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12CE9047" w:rsidR="00DE378A" w:rsidRPr="005E1E05" w:rsidRDefault="00DE378A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4E03C2" w:rsidRPr="005E1E05">
              <w:rPr>
                <w:sz w:val="20"/>
                <w:szCs w:val="20"/>
              </w:rPr>
              <w:t>Вид, категория (тип), серия (при наличии) и иные идентификационные признаки ценных бумаг эмитента, по которым начислены (объявлены) доходы, указанные в решении о выпуске ценных бумаг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процентные неконвертируемые бездокументарные с централизованным учетом прав серии 002Р-0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</w:t>
            </w:r>
            <w:r w:rsidR="0092751A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9C522C1" w14:textId="3C235FCB" w:rsidR="00100CAD" w:rsidRPr="005E1E05" w:rsidRDefault="00DE378A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4E03C2" w:rsidRPr="005E1E05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100CAD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а дату раскрытия 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регистрационный</w:t>
            </w:r>
            <w:r w:rsidR="00100CAD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номер не присвоен. </w:t>
            </w:r>
          </w:p>
          <w:p w14:paraId="374E21D8" w14:textId="73F6D1A9" w:rsidR="00B706E8" w:rsidRPr="005E1E05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4E03C2" w:rsidRPr="005E1E05">
              <w:rPr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>:</w:t>
            </w:r>
            <w:r w:rsidR="0053133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азмер процента (купона) по Биржевым облигациям определен 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заместителем генерального директора по корпоративным отношениям и общим вопросам ПАО «НГК «</w:t>
            </w:r>
            <w:proofErr w:type="spellStart"/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»</w:t>
            </w:r>
            <w:r w:rsidR="00B706E8" w:rsidRPr="005E1E05">
              <w:rPr>
                <w:b/>
                <w:i/>
                <w:sz w:val="20"/>
                <w:szCs w:val="20"/>
              </w:rPr>
              <w:t xml:space="preserve">. </w:t>
            </w:r>
          </w:p>
          <w:p w14:paraId="6A710A88" w14:textId="77777777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0DAE01E3" w14:textId="73C9ACC2" w:rsidR="00B706E8" w:rsidRPr="005E1E05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Определить процентную ставку по первому купонному периоду по Биржевым облигациям в размере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33774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33774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сотых) процентов годовых, что составляет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33774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33774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33774">
              <w:rPr>
                <w:b/>
                <w:i/>
                <w:sz w:val="20"/>
                <w:szCs w:val="20"/>
                <w:shd w:val="clear" w:color="auto" w:fill="FFFFFF"/>
              </w:rPr>
              <w:t>у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) на одну Биржевую облигацию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78B2C51" w14:textId="2DE384E7" w:rsidR="00B706E8" w:rsidRPr="005E1E05" w:rsidRDefault="00CC1CB0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Утвердить процентную ставку по второму, третьему, четвертому, пятому, шестому, седьмому, восьмому, девятому, десятому, одиннадцатому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 xml:space="preserve"> и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двенадцатому купонным периодам по Биржевым облигациям, равную процентной ставке первого купонного периода</w:t>
            </w:r>
            <w:r w:rsidR="00B706E8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C69B01E" w14:textId="02FDBB8B" w:rsidR="00646D76" w:rsidRPr="005E1E05" w:rsidRDefault="00646D76" w:rsidP="00646D7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Утвердить, что владельцы Биржевых облигаций вправе требовать от ПАО «НГК «</w:t>
            </w:r>
            <w:proofErr w:type="spellStart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приобретения Биржевых облигаций в течение последних 5 (Пяти) рабочих дней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(Период предъявления Биржевых облигаций к приобретению ПАО «НГК «</w:t>
            </w:r>
            <w:proofErr w:type="spellStart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»). </w:t>
            </w:r>
          </w:p>
          <w:p w14:paraId="0B1DF8FD" w14:textId="286AEE75" w:rsidR="00B706E8" w:rsidRPr="005E1E05" w:rsidRDefault="00CC1CB0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Определить дату приобретения Биржевых облигаций: 3 (Третий) рабо</w:t>
            </w:r>
            <w:bookmarkStart w:id="0" w:name="_GoBack"/>
            <w:bookmarkEnd w:id="0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чий день с даты окончания Периода предъявления Биржевых облигаций к приобретению – с даты окончания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купонного периода</w:t>
            </w:r>
            <w:r w:rsidR="00B706E8" w:rsidRPr="005E1E05">
              <w:rPr>
                <w:b/>
                <w:i/>
                <w:sz w:val="20"/>
                <w:szCs w:val="20"/>
                <w:shd w:val="clear" w:color="auto" w:fill="FFFFFF"/>
              </w:rPr>
              <w:t>.».</w:t>
            </w:r>
          </w:p>
          <w:p w14:paraId="17E5AB93" w14:textId="77777777" w:rsidR="00262DC8" w:rsidRPr="005E1E05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5DD08CAA"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D10908" w:rsidRPr="005E1E05">
              <w:rPr>
                <w:sz w:val="20"/>
                <w:szCs w:val="20"/>
              </w:rPr>
              <w:t>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июня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5E1E05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06A042F" w14:textId="6A3AFA0B"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2.5. </w:t>
            </w:r>
            <w:r w:rsidR="00D10908" w:rsidRPr="005E1E05">
              <w:rPr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№ </w:t>
            </w:r>
            <w:r w:rsidR="00531331" w:rsidRPr="009D6DA0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«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июня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5E1E05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12D7414E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2.6. </w:t>
            </w:r>
            <w:r w:rsidR="00D10908" w:rsidRPr="005E1E05">
              <w:rPr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63C1E99" w14:textId="77777777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495E93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 (Первый)</w:t>
            </w:r>
          </w:p>
          <w:p w14:paraId="162081E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первого купонного периода или порядок его определения: Дата начала размещения Биржевых облигаций</w:t>
            </w:r>
          </w:p>
          <w:p w14:paraId="78253B9C" w14:textId="3118329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первого купонного периода или порядок его определения: 91-й (Девяносто первый) день с даты начала размещения Биржевых облигаций</w:t>
            </w:r>
          </w:p>
          <w:p w14:paraId="476CB9B2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67493FC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2 (Второй)</w:t>
            </w:r>
          </w:p>
          <w:p w14:paraId="315DF8D9" w14:textId="34ACB5EA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второго купонного периода или порядок его определения: 91-й (Девяносто первый) день с даты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начала размещения Биржевых облигаций</w:t>
            </w:r>
          </w:p>
          <w:p w14:paraId="7D206F8D" w14:textId="36A9D4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второго купонного периода или порядок его определения: 182-й (Сто восемьдесят второй) день с даты начала размещения Биржевых облигаций</w:t>
            </w:r>
          </w:p>
          <w:p w14:paraId="60646271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6216A63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3 (Третий)</w:t>
            </w:r>
          </w:p>
          <w:p w14:paraId="4AFB0991" w14:textId="555F94C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третьего купонного периода или порядок его определения: 182-й (Сто восемьдесят второй) день с даты начала размещения Биржевых облигаций</w:t>
            </w:r>
          </w:p>
          <w:p w14:paraId="1BAAE2F5" w14:textId="546282D9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третьего купонного периода или порядок его определения: 273-й (Двести семьдесят третий) день с даты начала размещения Биржевых облигаций</w:t>
            </w:r>
          </w:p>
          <w:p w14:paraId="05D19E5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B3E7B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4 (Четвертый)</w:t>
            </w:r>
          </w:p>
          <w:p w14:paraId="71CE14B9" w14:textId="1C526170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четвертого купонного периода или порядок его определения: 273-й (Двести семьдесят третий) день с даты начала размещения Биржевых облигаций</w:t>
            </w:r>
          </w:p>
          <w:p w14:paraId="09FDFFF6" w14:textId="0C33BDB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четвертого купонного периода или порядок его определения: 364-й (Триста шестьдесят четвертый) день с даты начала размещения Биржевых облигаций</w:t>
            </w:r>
          </w:p>
          <w:p w14:paraId="7051327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60AF977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5 (Пятый)</w:t>
            </w:r>
          </w:p>
          <w:p w14:paraId="1E114770" w14:textId="142FE0C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пятого купонного периода или порядок его определения: 364-й (Триста шестьдесят четвертый) день с даты начала размещения Биржевых облигаций</w:t>
            </w:r>
          </w:p>
          <w:p w14:paraId="17EE5B3F" w14:textId="567958A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пятого купонного периода или порядок его определения: 455-й (Четыреста пятьдесят пятый) день с даты начала размещения Биржевых облигаций</w:t>
            </w:r>
          </w:p>
          <w:p w14:paraId="2E2F4546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81498C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6 (Шестой)</w:t>
            </w:r>
          </w:p>
          <w:p w14:paraId="08EF65C4" w14:textId="17BCA9F8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шестого купонного периода или порядок его определения: 455-й (Четыреста пятьдесят пятый) день с даты начала размещения Биржевых облигаций</w:t>
            </w:r>
          </w:p>
          <w:p w14:paraId="631FC4E0" w14:textId="132A2D8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шестого купонного периода или порядок его определения: 546-й (Пятьсот сорок шестой) день с даты начала размещения Биржевых облигаций</w:t>
            </w:r>
          </w:p>
          <w:p w14:paraId="54D0B9D0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7544B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7 (Седьмой)</w:t>
            </w:r>
          </w:p>
          <w:p w14:paraId="3BDB013E" w14:textId="7C31A49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седьмого купонного периода или порядок его определения: 546-й (Пятьсот сорок шестой) день с даты начала размещения Биржевых облигаций</w:t>
            </w:r>
          </w:p>
          <w:p w14:paraId="5BCB87A8" w14:textId="2DE9211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седьмого купонного периода или порядок его определения: 637-й (Шестьсот тридцать седьмой) день с даты начала размещения Биржевых облигаций</w:t>
            </w:r>
          </w:p>
          <w:p w14:paraId="2A201398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B9C86B6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8 (Восьмой)</w:t>
            </w:r>
          </w:p>
          <w:p w14:paraId="2EE8BB73" w14:textId="4FEFB24F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восьмого купонного периода или порядок его определения: 637-й (Шестьсот тридцать седьмой) день с даты начала размещения Биржевых облигаций</w:t>
            </w:r>
          </w:p>
          <w:p w14:paraId="316C019F" w14:textId="23673CC1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восьмого купонного периода или порядок его определения: 728-й (Семьсот двадцать восьмой) день с даты начала размещения Биржевых облигаций</w:t>
            </w:r>
          </w:p>
          <w:p w14:paraId="1786F83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FEE474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9 (Девятого)</w:t>
            </w:r>
          </w:p>
          <w:p w14:paraId="63323A93" w14:textId="0DA043B4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девятого купонного периода или порядок его определения: 728-й (Семьсот двадцать восьмой) день с даты начала размещения Биржевых облигаций</w:t>
            </w:r>
          </w:p>
          <w:p w14:paraId="18FDFEEF" w14:textId="59C2094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девятого купонного периода или порядок его определения: 819-й (Восемьсот девятнадцатый) день с даты начала размещения Биржевых облигаций</w:t>
            </w:r>
          </w:p>
          <w:p w14:paraId="6329CF0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F7D57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10 (Десятый)</w:t>
            </w:r>
          </w:p>
          <w:p w14:paraId="1FC64B72" w14:textId="174CB2D3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десятого купонного периода или порядок его определения: 819-й (Восемьсот девятнадцатый) день с даты начала размещения Биржевых облигаций</w:t>
            </w:r>
          </w:p>
          <w:p w14:paraId="154913E2" w14:textId="7A9847F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десятого купонного периода или порядок его определения: 910-й (Девятьсот десятый) день с даты начала размещения Биржевых облигаций</w:t>
            </w:r>
          </w:p>
          <w:p w14:paraId="2F8C72C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A1D416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11 (Одиннадцатый)</w:t>
            </w:r>
          </w:p>
          <w:p w14:paraId="0F62A380" w14:textId="42A7A83B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одиннадцатого купонного периода или порядок его определения: 910-й (Девятьсот десятый) день с даты начала размещения Биржевых облигаций</w:t>
            </w:r>
          </w:p>
          <w:p w14:paraId="562716E0" w14:textId="7C3A55E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одиннадцатого купонного периода или порядок его определения: 1001-й (Одна тысяча первый) день с даты начала размещения Биржевых облигаций</w:t>
            </w:r>
          </w:p>
          <w:p w14:paraId="34A5841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CCA2639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12 (Двенадцатый)</w:t>
            </w:r>
          </w:p>
          <w:p w14:paraId="022942CF" w14:textId="1CB3881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двенадцатого купонного периода или порядок его определения: 1001-й (Одна тысяча первый) день с даты начала размещения Биржевых облигаций</w:t>
            </w:r>
          </w:p>
          <w:p w14:paraId="03F4BA79" w14:textId="70FB24E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двенадцатого купонного периода или порядок его определения: 1092-й (Одна тысяча девяносто второй) день с даты начала размещения Биржевых облигаций</w:t>
            </w:r>
          </w:p>
          <w:p w14:paraId="5EA25B12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C03A05A" w14:textId="4804AA21" w:rsidR="00262FE9" w:rsidRPr="005E1E05" w:rsidRDefault="00DE378A" w:rsidP="00531331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2.7. </w:t>
            </w:r>
            <w:r w:rsidR="00D10908" w:rsidRPr="005E1E05">
              <w:rPr>
                <w:sz w:val="20"/>
                <w:szCs w:val="20"/>
              </w:rPr>
              <w:t xml:space="preserve">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</w:t>
            </w:r>
            <w:r w:rsidR="00D10908" w:rsidRPr="005E1E05">
              <w:rPr>
                <w:sz w:val="20"/>
                <w:szCs w:val="20"/>
              </w:rPr>
              <w:lastRenderedPageBreak/>
              <w:t xml:space="preserve">(купонного дохода), начисленных (подлежащих выплате) по облигациям эмитента определенного выпуска):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703D8A" w:rsidRPr="005E1E05">
              <w:rPr>
                <w:b/>
                <w:i/>
                <w:sz w:val="20"/>
                <w:szCs w:val="20"/>
                <w:shd w:val="clear" w:color="auto" w:fill="FFFFFF"/>
              </w:rPr>
              <w:t>оход по Биржевым облигациям рассчитывается с учетом размера процентной ставки по Биржевым облигациям, указанным в п.2.3. настоящего сообщения и с учетом количества Биржевых облигаций, которое будет раскрыто Эмитентом до начала размещения Биржевых облигаций в Документе, содержащем условия размещения ценных бумаг.</w:t>
            </w:r>
          </w:p>
          <w:p w14:paraId="66D6C3EE" w14:textId="2AB3F3AC" w:rsidR="009D3A5F" w:rsidRPr="005E1E05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C71E2AD" w14:textId="77777777" w:rsidR="00D10908" w:rsidRPr="005E1E05" w:rsidRDefault="00D10908" w:rsidP="00D10908">
            <w:pPr>
              <w:jc w:val="both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2.8. Размер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  <w:p w14:paraId="3999892A" w14:textId="2591F6C5" w:rsidR="0069595B" w:rsidRPr="005E1E05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262FE9" w:rsidRPr="005E1E05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262FE9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26D4713" w14:textId="4D1896B7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54C932B" w14:textId="0CBCE8DE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3-й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45B6CEC8" w14:textId="601D1B8B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127B9A8" w14:textId="0EAB4127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C0A2432" w14:textId="22170936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C1B548C" w14:textId="09D09CF7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F877C83" w14:textId="790E1C61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BC09EF5" w14:textId="655F9FEE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79EF019" w14:textId="6AF784F3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10-й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576DD9C7" w14:textId="050895A2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11-й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2C489A4F" w14:textId="05B090FC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12-й купонный период -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5862E0">
              <w:rPr>
                <w:b/>
                <w:i/>
                <w:sz w:val="20"/>
                <w:szCs w:val="20"/>
                <w:shd w:val="clear" w:color="auto" w:fill="FFFFFF"/>
              </w:rPr>
              <w:t xml:space="preserve">пятнадцать </w:t>
            </w:r>
            <w:r w:rsidR="005862E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процента годовых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679CA2C" w14:textId="77777777" w:rsidR="00596B22" w:rsidRPr="005E1E05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39736F" w14:textId="2B9F3A5E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5E1E05">
              <w:rPr>
                <w:sz w:val="20"/>
                <w:szCs w:val="20"/>
                <w:shd w:val="clear" w:color="auto" w:fill="FFFFFF"/>
              </w:rPr>
              <w:t>9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Форма выплаты доходов по ценным бумагам эмитента (денежные средства, иное имущество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):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602820" w:rsidRPr="005E1E05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24ACA9CA" w:rsidR="00602820" w:rsidRPr="005E1E05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E897A91" w14:textId="1DC6291A" w:rsidR="00D10908" w:rsidRPr="005E1E05" w:rsidRDefault="00D10908" w:rsidP="00D10908">
            <w:pPr>
              <w:adjustRightInd w:val="0"/>
              <w:ind w:right="57"/>
              <w:jc w:val="both"/>
              <w:rPr>
                <w:b/>
                <w:i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 xml:space="preserve">2.10. Дата, на которую определяются лица, имеющие право на получение </w:t>
            </w:r>
            <w:r w:rsidR="00531331" w:rsidRPr="005E1E05">
              <w:rPr>
                <w:sz w:val="20"/>
                <w:szCs w:val="20"/>
              </w:rPr>
              <w:t>дивидендов в случае, если</w:t>
            </w:r>
            <w:r w:rsidRPr="005E1E05">
              <w:rPr>
                <w:sz w:val="20"/>
                <w:szCs w:val="20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5E1E05">
              <w:rPr>
                <w:b/>
                <w:i/>
                <w:sz w:val="20"/>
                <w:szCs w:val="20"/>
              </w:rPr>
              <w:t>не применимо к Биржевым облигациям.</w:t>
            </w:r>
          </w:p>
          <w:p w14:paraId="1126CBF0" w14:textId="77777777" w:rsidR="00D10908" w:rsidRPr="005E1E05" w:rsidRDefault="00D10908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6EFEE888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5E1E05">
              <w:rPr>
                <w:sz w:val="20"/>
                <w:szCs w:val="20"/>
                <w:shd w:val="clear" w:color="auto" w:fill="FFFFFF"/>
              </w:rPr>
              <w:t>11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C846F08" w14:textId="56238424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1-й купонный период: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E5AF30" w14:textId="1FA44A51" w:rsidR="008156A1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91-й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(Девяносто первый)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006A701D" w14:textId="0B110C64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2-й купонный период:</w:t>
            </w:r>
          </w:p>
          <w:p w14:paraId="4D7EBD85" w14:textId="0E5BB86B" w:rsidR="008156A1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182-й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(Сто восемьдесят второй)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7DB292FA" w14:textId="35835999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3-й купонный период:</w:t>
            </w:r>
          </w:p>
          <w:p w14:paraId="22BD6167" w14:textId="46BD7230" w:rsidR="00D42270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273-й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(Двести семьдесят третий)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FE7421A" w14:textId="6300ECA5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4-й купонный период:</w:t>
            </w:r>
          </w:p>
          <w:p w14:paraId="43C4BA07" w14:textId="45DFD276" w:rsidR="008156A1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64-й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(Триста шестьдесят четвертый)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4529E774" w14:textId="5931B531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5-й купонный период:</w:t>
            </w:r>
          </w:p>
          <w:p w14:paraId="6D216F8A" w14:textId="73A12627" w:rsidR="008156A1" w:rsidRPr="005E1E05" w:rsidRDefault="008156A1" w:rsidP="008156A1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455-й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(Четыреста пятьдесят пятый)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861EA39" w14:textId="3E7CEA34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6-й купонный период:</w:t>
            </w:r>
          </w:p>
          <w:p w14:paraId="36C0E889" w14:textId="3F638425" w:rsidR="008156A1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46-й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(Пятьсот сорок шестой)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62AECF9B" w14:textId="2C972BED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7-й купонный период:</w:t>
            </w:r>
          </w:p>
          <w:p w14:paraId="21A59CB9" w14:textId="675F5C6D" w:rsidR="008156A1" w:rsidRPr="005E1E05" w:rsidRDefault="008156A1" w:rsidP="008156A1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637-й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(Шестьсот тридцать седьмой)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00A1F0AA" w14:textId="1B79D96F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8-й купонный период:</w:t>
            </w:r>
          </w:p>
          <w:p w14:paraId="697A2D96" w14:textId="5F9A48ED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728-й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(Семьсот двадцать восьмой)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C170013" w14:textId="21FDAA45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9-й купонный период:</w:t>
            </w:r>
          </w:p>
          <w:p w14:paraId="0F33BF2B" w14:textId="796AD308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819-й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(Восемьсот девятнадцатый)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2ADF7102" w14:textId="283C07A2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10-й купонный период:</w:t>
            </w:r>
          </w:p>
          <w:p w14:paraId="4F3988C5" w14:textId="58FF1093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910-й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(Девятьсот десятый)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767F20EF" w14:textId="45D8C64B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11-й купонный период:</w:t>
            </w:r>
          </w:p>
          <w:p w14:paraId="6D40D796" w14:textId="061F5947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1001-й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первый)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450416C5" w14:textId="6F811392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12-й купонный период:</w:t>
            </w:r>
          </w:p>
          <w:p w14:paraId="2C95DD6D" w14:textId="05238DE0" w:rsidR="004343B5" w:rsidRPr="005E1E05" w:rsidRDefault="008156A1" w:rsidP="005313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1092-й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девяносто второй)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</w:tc>
      </w:tr>
    </w:tbl>
    <w:p w14:paraId="50D8E5A1" w14:textId="77777777" w:rsidR="008648F9" w:rsidRPr="005E1E0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5E1E05" w14:paraId="6AF86793" w14:textId="77777777" w:rsidTr="008156A1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5E1E05" w:rsidRDefault="00B15E08" w:rsidP="0081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8F02F8" w:rsidRPr="00856091" w14:paraId="30A9A087" w14:textId="77777777" w:rsidTr="008156A1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A5C" w14:textId="77777777" w:rsidR="001473F2" w:rsidRPr="00414293" w:rsidRDefault="008F02F8" w:rsidP="001473F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3.1. </w:t>
            </w:r>
            <w:r w:rsidR="001473F2" w:rsidRPr="00414293">
              <w:rPr>
                <w:sz w:val="20"/>
                <w:szCs w:val="20"/>
                <w:shd w:val="clear" w:color="auto" w:fill="FFFFFF"/>
              </w:rPr>
              <w:t xml:space="preserve">Заместитель Генерального директора по </w:t>
            </w:r>
          </w:p>
          <w:p w14:paraId="02EC80FE" w14:textId="77777777" w:rsidR="001473F2" w:rsidRPr="009466A5" w:rsidRDefault="001473F2" w:rsidP="001473F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4293">
              <w:rPr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14:paraId="0E23FE20" w14:textId="77777777" w:rsidR="008F02F8" w:rsidRPr="005E1E05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5E1E05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sz w:val="20"/>
                <w:szCs w:val="20"/>
                <w:shd w:val="clear" w:color="auto" w:fill="FFFFFF"/>
              </w:rPr>
              <w:t>»</w:t>
            </w:r>
          </w:p>
          <w:p w14:paraId="15D8D4EA" w14:textId="31723C3C" w:rsidR="008F02F8" w:rsidRPr="005E1E05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(по доверенности от </w:t>
            </w:r>
            <w:r w:rsidR="001473F2">
              <w:rPr>
                <w:sz w:val="20"/>
                <w:szCs w:val="20"/>
                <w:shd w:val="clear" w:color="auto" w:fill="FFFFFF"/>
              </w:rPr>
              <w:t>28</w:t>
            </w:r>
            <w:r w:rsidRPr="005E1E05">
              <w:rPr>
                <w:sz w:val="20"/>
                <w:szCs w:val="20"/>
                <w:shd w:val="clear" w:color="auto" w:fill="FFFFFF"/>
              </w:rPr>
              <w:t>.</w:t>
            </w:r>
            <w:r w:rsidR="001473F2">
              <w:rPr>
                <w:sz w:val="20"/>
                <w:szCs w:val="20"/>
                <w:shd w:val="clear" w:color="auto" w:fill="FFFFFF"/>
              </w:rPr>
              <w:t>06</w:t>
            </w:r>
            <w:r w:rsidRPr="005E1E05">
              <w:rPr>
                <w:sz w:val="20"/>
                <w:szCs w:val="20"/>
                <w:shd w:val="clear" w:color="auto" w:fill="FFFFFF"/>
              </w:rPr>
              <w:t>.202</w:t>
            </w:r>
            <w:r w:rsidR="001473F2">
              <w:rPr>
                <w:sz w:val="20"/>
                <w:szCs w:val="20"/>
                <w:shd w:val="clear" w:color="auto" w:fill="FFFFFF"/>
              </w:rPr>
              <w:t>1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 № МО-</w:t>
            </w:r>
            <w:r w:rsidR="001473F2">
              <w:rPr>
                <w:sz w:val="20"/>
                <w:szCs w:val="20"/>
                <w:shd w:val="clear" w:color="auto" w:fill="FFFFFF"/>
              </w:rPr>
              <w:t>518</w:t>
            </w:r>
            <w:r w:rsidRPr="005E1E05">
              <w:rPr>
                <w:sz w:val="20"/>
                <w:szCs w:val="20"/>
                <w:shd w:val="clear" w:color="auto" w:fill="FFFFFF"/>
              </w:rPr>
              <w:t>)                                          __________________ А.</w:t>
            </w:r>
            <w:r w:rsidR="001473F2">
              <w:rPr>
                <w:sz w:val="20"/>
                <w:szCs w:val="20"/>
                <w:shd w:val="clear" w:color="auto" w:fill="FFFFFF"/>
              </w:rPr>
              <w:t>Н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473F2">
              <w:rPr>
                <w:sz w:val="20"/>
                <w:szCs w:val="20"/>
                <w:shd w:val="clear" w:color="auto" w:fill="FFFFFF"/>
              </w:rPr>
              <w:t>Трухачев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6CCCD4" w14:textId="77777777" w:rsidR="008F02F8" w:rsidRPr="005E1E05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E1E05"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14:paraId="7AAF42FB" w14:textId="691F897D" w:rsidR="008F02F8" w:rsidRPr="00856091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sz w:val="20"/>
                <w:szCs w:val="20"/>
              </w:rPr>
              <w:t>3.2. Дата «</w:t>
            </w:r>
            <w:r w:rsidR="00827597" w:rsidRPr="005E1E05">
              <w:rPr>
                <w:rFonts w:eastAsia="Calibri"/>
                <w:sz w:val="20"/>
                <w:szCs w:val="20"/>
              </w:rPr>
              <w:t>17</w:t>
            </w:r>
            <w:r w:rsidRPr="005E1E05">
              <w:rPr>
                <w:rFonts w:eastAsia="Calibri"/>
                <w:sz w:val="20"/>
                <w:szCs w:val="20"/>
              </w:rPr>
              <w:t xml:space="preserve">» </w:t>
            </w:r>
            <w:r w:rsidR="001473F2">
              <w:rPr>
                <w:rFonts w:eastAsia="Calibri"/>
                <w:sz w:val="20"/>
                <w:szCs w:val="20"/>
              </w:rPr>
              <w:t>июня</w:t>
            </w:r>
            <w:r w:rsidRPr="005E1E05">
              <w:rPr>
                <w:rFonts w:eastAsia="Calibri"/>
                <w:sz w:val="20"/>
                <w:szCs w:val="20"/>
              </w:rPr>
              <w:t xml:space="preserve"> 202</w:t>
            </w:r>
            <w:r w:rsidR="001473F2">
              <w:rPr>
                <w:rFonts w:eastAsia="Calibri"/>
                <w:sz w:val="20"/>
                <w:szCs w:val="20"/>
              </w:rPr>
              <w:t>2</w:t>
            </w:r>
            <w:r w:rsidRPr="005E1E05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768032EE" w14:textId="77777777" w:rsidR="00B15E08" w:rsidRPr="00856091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180A84">
      <w:headerReference w:type="default" r:id="rId10"/>
      <w:footerReference w:type="even" r:id="rId11"/>
      <w:footerReference w:type="default" r:id="rId12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58C5" w14:textId="77777777" w:rsidR="008156A1" w:rsidRDefault="008156A1">
      <w:r>
        <w:separator/>
      </w:r>
    </w:p>
  </w:endnote>
  <w:endnote w:type="continuationSeparator" w:id="0">
    <w:p w14:paraId="1366A31A" w14:textId="77777777" w:rsidR="008156A1" w:rsidRDefault="008156A1">
      <w:r>
        <w:continuationSeparator/>
      </w:r>
    </w:p>
  </w:endnote>
  <w:endnote w:type="continuationNotice" w:id="1">
    <w:p w14:paraId="08B99F9F" w14:textId="77777777" w:rsidR="008156A1" w:rsidRDefault="0081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2B2A" w14:textId="77777777" w:rsidR="008156A1" w:rsidRDefault="008156A1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8156A1" w:rsidRDefault="008156A1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3E9D139A" w:rsidR="008156A1" w:rsidRPr="00863EDC" w:rsidRDefault="008156A1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646D7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8156A1" w:rsidRPr="00327297" w:rsidRDefault="008156A1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41A9" w14:textId="77777777" w:rsidR="008156A1" w:rsidRDefault="008156A1">
      <w:r>
        <w:separator/>
      </w:r>
    </w:p>
  </w:footnote>
  <w:footnote w:type="continuationSeparator" w:id="0">
    <w:p w14:paraId="04D3C9FE" w14:textId="77777777" w:rsidR="008156A1" w:rsidRDefault="008156A1">
      <w:r>
        <w:continuationSeparator/>
      </w:r>
    </w:p>
  </w:footnote>
  <w:footnote w:type="continuationNotice" w:id="1">
    <w:p w14:paraId="224E5E85" w14:textId="77777777" w:rsidR="008156A1" w:rsidRDefault="0081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4E62" w14:textId="77777777" w:rsidR="008156A1" w:rsidRDefault="00815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3F2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64B9"/>
    <w:rsid w:val="0019678E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3783"/>
    <w:rsid w:val="00254B05"/>
    <w:rsid w:val="00254FC0"/>
    <w:rsid w:val="00262DC8"/>
    <w:rsid w:val="00262FE9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43B5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03C2"/>
    <w:rsid w:val="004E2C3A"/>
    <w:rsid w:val="004E5F34"/>
    <w:rsid w:val="004E7458"/>
    <w:rsid w:val="004F6D84"/>
    <w:rsid w:val="00501BCD"/>
    <w:rsid w:val="00501CCF"/>
    <w:rsid w:val="005064D4"/>
    <w:rsid w:val="005102F9"/>
    <w:rsid w:val="00513EFD"/>
    <w:rsid w:val="005143DB"/>
    <w:rsid w:val="0052430E"/>
    <w:rsid w:val="005248CF"/>
    <w:rsid w:val="00531331"/>
    <w:rsid w:val="00532C24"/>
    <w:rsid w:val="0053377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62E0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1E05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D76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3D8A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A79DC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6A1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7597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2FED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2F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6DA0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06AF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19EA"/>
    <w:rsid w:val="00AB4D07"/>
    <w:rsid w:val="00AC2622"/>
    <w:rsid w:val="00AC322B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2B10"/>
    <w:rsid w:val="00C64701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CB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0908"/>
    <w:rsid w:val="00D15EAA"/>
    <w:rsid w:val="00D15FA9"/>
    <w:rsid w:val="00D2131D"/>
    <w:rsid w:val="00D231BA"/>
    <w:rsid w:val="00D2771C"/>
    <w:rsid w:val="00D34F48"/>
    <w:rsid w:val="00D3685F"/>
    <w:rsid w:val="00D3776F"/>
    <w:rsid w:val="00D42270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38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7110"/>
    <w:rsid w:val="00F901B3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D43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  <w15:docId w15:val="{A969F648-1FB3-4966-BA56-81AE29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28D2-5A5A-47AB-BF8F-B4C86B0B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12950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46</cp:revision>
  <cp:lastPrinted>2017-09-01T13:19:00Z</cp:lastPrinted>
  <dcterms:created xsi:type="dcterms:W3CDTF">2019-03-07T13:39:00Z</dcterms:created>
  <dcterms:modified xsi:type="dcterms:W3CDTF">2022-06-17T08:41:00Z</dcterms:modified>
</cp:coreProperties>
</file>