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207A2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чистке наружных поверхностей труб секций радиации и конвекции печи О-1/1,2 установки ВТ-6,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висбрекинг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FF26F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Технического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>задания</w:t>
          </w:r>
          <w:r w:rsidR="00FF26F7">
            <w:rPr>
              <w:rFonts w:ascii="Times New Roman" w:hAnsi="Times New Roman"/>
              <w:sz w:val="23"/>
              <w:szCs w:val="23"/>
            </w:rPr>
            <w:t xml:space="preserve"> Заказчика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FF26F7">
            <w:rPr>
              <w:rFonts w:ascii="Times New Roman" w:hAnsi="Times New Roman"/>
              <w:sz w:val="23"/>
              <w:szCs w:val="23"/>
            </w:rPr>
            <w:t>и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726408910"/>
              <w:placeholder>
                <w:docPart w:val="1965B5FFFE714E0AB9F654661CB6E3CD"/>
              </w:placeholder>
            </w:sdtPr>
            <w:sdtEndPr>
              <w:rPr>
                <w:b/>
              </w:rPr>
            </w:sdtEndPr>
            <w:sdtContent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r w:rsidR="00F961DB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>работ –</w:t>
              </w:r>
              <w:r w:rsidR="00C16881">
                <w:rPr>
                  <w:rFonts w:ascii="Times New Roman" w:hAnsi="Times New Roman"/>
                  <w:b/>
                  <w:sz w:val="23"/>
                  <w:szCs w:val="23"/>
                </w:rPr>
                <w:t xml:space="preserve"> апрель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</w:t>
              </w:r>
              <w:r w:rsidR="00F961DB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C16881">
                <w:rPr>
                  <w:rFonts w:ascii="Times New Roman" w:hAnsi="Times New Roman"/>
                  <w:b/>
                  <w:sz w:val="23"/>
                  <w:szCs w:val="23"/>
                </w:rPr>
                <w:t>30 сент</w:t>
              </w:r>
              <w:r w:rsidR="00E655F0">
                <w:rPr>
                  <w:rFonts w:ascii="Times New Roman" w:hAnsi="Times New Roman"/>
                  <w:b/>
                  <w:sz w:val="23"/>
                  <w:szCs w:val="23"/>
                </w:rPr>
                <w:t>ября</w:t>
              </w:r>
              <w:r w:rsidR="00F961DB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2017 г. График выполнения работ и продолжительность работ согласуются сторонами письменно не менее чем за 14 (четырнадцать) календарных дней до фактического начала работ.</w:t>
              </w:r>
            </w:sdtContent>
          </w:sdt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proofErr w:type="spellStart"/>
          <w:r w:rsidR="00F961DB">
            <w:rPr>
              <w:rFonts w:ascii="Times New Roman" w:hAnsi="Times New Roman"/>
              <w:b/>
              <w:sz w:val="23"/>
              <w:szCs w:val="23"/>
            </w:rPr>
            <w:t>реагентной</w:t>
          </w:r>
          <w:proofErr w:type="spellEnd"/>
          <w:r w:rsidR="00F961DB">
            <w:rPr>
              <w:rFonts w:ascii="Times New Roman" w:hAnsi="Times New Roman"/>
              <w:b/>
              <w:sz w:val="23"/>
              <w:szCs w:val="23"/>
            </w:rPr>
            <w:t xml:space="preserve"> чистке наружный поверхностей 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труб секций радиации и конвекции печи О-1/1,2 установки ВТ-6,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висбрекинг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F961DB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определяется расчетом, согласованным с Заказчиком,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составленным на основании Приложения № 1 к Договору</w:t>
          </w:r>
          <w:r w:rsidR="00F961DB" w:rsidRPr="004F022B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Стоимость работ включает в себя стоимость материалов поставки Подрядчика, </w:t>
          </w:r>
          <w:proofErr w:type="spellStart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>энегоресурсов</w:t>
          </w:r>
          <w:proofErr w:type="spellEnd"/>
          <w:r w:rsidR="00F961DB">
            <w:rPr>
              <w:rFonts w:ascii="Times New Roman" w:hAnsi="Times New Roman"/>
              <w:color w:val="000000"/>
              <w:sz w:val="23"/>
              <w:szCs w:val="23"/>
            </w:rPr>
            <w:t xml:space="preserve"> (деминерализованной или питьевой воды, сжатого воздуха), пребывание необходимого количества специалистов Подрядчика на производственной площадке, транспортные расходы, необходимые для выполнения работ по Договору. Стоимость материалов должна быть подтверждена счетами-фактурами. После окончания работ Подрядчик обязан предоставить Отчет о выполненной работе.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 xml:space="preserve"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="00F961DB">
            <w:rPr>
              <w:color w:val="000000"/>
              <w:sz w:val="23"/>
              <w:szCs w:val="23"/>
            </w:rPr>
            <w:t>расчетам, согласованными с Заказчиком, составленными на основании Приложения № 1 к Договору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</w:t>
      </w:r>
      <w:r w:rsidRPr="00AF1246">
        <w:rPr>
          <w:rFonts w:ascii="Times New Roman" w:hAnsi="Times New Roman"/>
          <w:sz w:val="23"/>
          <w:szCs w:val="23"/>
        </w:rPr>
        <w:lastRenderedPageBreak/>
        <w:t>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</w:t>
      </w:r>
      <w:sdt>
        <w:sdtPr>
          <w:rPr>
            <w:rFonts w:ascii="Times New Roman" w:hAnsi="Times New Roman"/>
            <w:sz w:val="23"/>
            <w:szCs w:val="23"/>
          </w:rPr>
          <w:id w:val="-1577592308"/>
          <w:placeholder>
            <w:docPart w:val="DefaultPlaceholder_1082065158"/>
          </w:placeholder>
        </w:sdtPr>
        <w:sdtContent>
          <w:r w:rsidR="00F961D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655F0">
            <w:rPr>
              <w:sz w:val="23"/>
              <w:szCs w:val="23"/>
            </w:rPr>
            <w:t>31.12</w:t>
          </w:r>
          <w:r w:rsidR="0087400A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947739">
            <w:rPr>
              <w:rFonts w:ascii="Times New Roman" w:hAnsi="Times New Roman"/>
              <w:sz w:val="23"/>
              <w:szCs w:val="23"/>
            </w:rPr>
            <w:t xml:space="preserve"> Техническое задание</w:t>
          </w:r>
          <w:r w:rsidR="0087400A">
            <w:rPr>
              <w:rFonts w:ascii="Times New Roman" w:hAnsi="Times New Roman"/>
              <w:sz w:val="23"/>
              <w:szCs w:val="23"/>
            </w:rPr>
            <w:t xml:space="preserve"> на выполнение и сопровождение работ, поставку реагентов для чистки технологического оборудования (</w:t>
          </w:r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труб секций радиации и конвекции печи О-1/1,2 установки ВТ-6, </w:t>
          </w:r>
          <w:proofErr w:type="spellStart"/>
          <w:r w:rsidR="00A25446">
            <w:rPr>
              <w:rFonts w:ascii="Times New Roman" w:hAnsi="Times New Roman"/>
              <w:b/>
              <w:sz w:val="23"/>
              <w:szCs w:val="23"/>
            </w:rPr>
            <w:t>висбрекинг</w:t>
          </w:r>
          <w:proofErr w:type="spellEnd"/>
          <w:r w:rsidR="00A25446">
            <w:rPr>
              <w:rFonts w:ascii="Times New Roman" w:hAnsi="Times New Roman"/>
              <w:b/>
              <w:sz w:val="23"/>
              <w:szCs w:val="23"/>
            </w:rPr>
            <w:t xml:space="preserve"> (на режиме)</w:t>
          </w:r>
          <w:r w:rsidR="00A117B7">
            <w:rPr>
              <w:rFonts w:ascii="Times New Roman" w:hAnsi="Times New Roman"/>
              <w:b/>
              <w:sz w:val="23"/>
              <w:szCs w:val="23"/>
            </w:rPr>
            <w:t>)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="0087400A">
            <w:rPr>
              <w:rFonts w:ascii="Times New Roman" w:hAnsi="Times New Roman"/>
              <w:bCs/>
              <w:iCs/>
              <w:sz w:val="23"/>
              <w:szCs w:val="23"/>
            </w:rPr>
            <w:t>Отсутствует.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87400A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3. Отсутствует</w:t>
          </w:r>
          <w:r w:rsidR="00670AD1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p w:rsidR="00E225E4" w:rsidRDefault="00E225E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Р/</w:t>
                </w:r>
                <w:proofErr w:type="spellStart"/>
                <w:r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>
                  <w:rPr>
                    <w:rFonts w:ascii="Times New Roman" w:hAnsi="Times New Roman"/>
                    <w:sz w:val="23"/>
                    <w:szCs w:val="23"/>
                  </w:rPr>
                  <w:t xml:space="preserve"> 40702810616250002974</w:t>
                </w:r>
              </w:p>
              <w:p w:rsidR="00D7787E" w:rsidRPr="00AF1246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Филиал Банка ВТБ (ПАО) в</w:t>
                </w:r>
              </w:p>
              <w:p w:rsidR="001B5158" w:rsidRPr="00AF1246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г. Воронеже</w:t>
                </w:r>
              </w:p>
              <w:p w:rsidR="001B5158" w:rsidRPr="00AF1246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>
                  <w:rPr>
                    <w:rFonts w:ascii="Times New Roman" w:hAnsi="Times New Roman"/>
                    <w:sz w:val="23"/>
                    <w:szCs w:val="23"/>
                  </w:rPr>
                  <w:t xml:space="preserve"> 30101810100000000835</w:t>
                </w:r>
              </w:p>
              <w:p w:rsidR="001B5158" w:rsidRPr="00AF1246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БИК 042007835</w:t>
                </w:r>
              </w:p>
              <w:p w:rsidR="00947739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ОКПО 49747905, ИНН 7702070139</w:t>
                </w:r>
              </w:p>
              <w:p w:rsidR="001B5158" w:rsidRPr="00AF1246" w:rsidRDefault="0094773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КПП 366643001, ОГРН 1027739609391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bookmarkStart w:id="14" w:name="_GoBack" w:displacedByCustomXml="prev"/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  <w:bookmarkEnd w:id="14" w:displacedByCustomXml="next"/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872" w:rsidRDefault="00332872" w:rsidP="00D736E8">
      <w:pPr>
        <w:spacing w:before="0"/>
      </w:pPr>
      <w:r>
        <w:separator/>
      </w:r>
    </w:p>
  </w:endnote>
  <w:endnote w:type="continuationSeparator" w:id="0">
    <w:p w:rsidR="00332872" w:rsidRDefault="00332872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207A29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E225E4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872" w:rsidRDefault="00332872" w:rsidP="00D736E8">
      <w:pPr>
        <w:spacing w:before="0"/>
      </w:pPr>
      <w:r>
        <w:separator/>
      </w:r>
    </w:p>
  </w:footnote>
  <w:footnote w:type="continuationSeparator" w:id="0">
    <w:p w:rsidR="00332872" w:rsidRDefault="00332872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od+G3XwyAagjUT4BpD9WyFTchuY=" w:salt="KzzqpMavW+NpRuohWIVwH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2478C"/>
    <w:rsid w:val="000355EE"/>
    <w:rsid w:val="00052463"/>
    <w:rsid w:val="00065B9B"/>
    <w:rsid w:val="000758F9"/>
    <w:rsid w:val="0007763C"/>
    <w:rsid w:val="00084005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0F4410"/>
    <w:rsid w:val="00107864"/>
    <w:rsid w:val="00126B18"/>
    <w:rsid w:val="00133763"/>
    <w:rsid w:val="001365E7"/>
    <w:rsid w:val="00154136"/>
    <w:rsid w:val="00173FB0"/>
    <w:rsid w:val="00175DCA"/>
    <w:rsid w:val="001806B3"/>
    <w:rsid w:val="00197B3F"/>
    <w:rsid w:val="001B02C9"/>
    <w:rsid w:val="001B5158"/>
    <w:rsid w:val="001C1DF4"/>
    <w:rsid w:val="001D4202"/>
    <w:rsid w:val="00207A29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06DF"/>
    <w:rsid w:val="00301DE4"/>
    <w:rsid w:val="003044A7"/>
    <w:rsid w:val="00306608"/>
    <w:rsid w:val="00307249"/>
    <w:rsid w:val="00332872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625D"/>
    <w:rsid w:val="004904D0"/>
    <w:rsid w:val="004A7AC3"/>
    <w:rsid w:val="004B3560"/>
    <w:rsid w:val="004B5782"/>
    <w:rsid w:val="004B7D55"/>
    <w:rsid w:val="004E08B5"/>
    <w:rsid w:val="004E3ACA"/>
    <w:rsid w:val="004F022B"/>
    <w:rsid w:val="004F4D8E"/>
    <w:rsid w:val="005154BE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E6589"/>
    <w:rsid w:val="00702919"/>
    <w:rsid w:val="00724D87"/>
    <w:rsid w:val="00756953"/>
    <w:rsid w:val="00763E4D"/>
    <w:rsid w:val="007A171D"/>
    <w:rsid w:val="007A659A"/>
    <w:rsid w:val="007C57B1"/>
    <w:rsid w:val="007D2753"/>
    <w:rsid w:val="007D4D74"/>
    <w:rsid w:val="008000EA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400A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47739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17B7"/>
    <w:rsid w:val="00A121E1"/>
    <w:rsid w:val="00A144FA"/>
    <w:rsid w:val="00A20FF3"/>
    <w:rsid w:val="00A25446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55633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D3175"/>
    <w:rsid w:val="00BF040D"/>
    <w:rsid w:val="00BF0AFC"/>
    <w:rsid w:val="00BF16BC"/>
    <w:rsid w:val="00C00529"/>
    <w:rsid w:val="00C0682F"/>
    <w:rsid w:val="00C16881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6243"/>
    <w:rsid w:val="00E16F70"/>
    <w:rsid w:val="00E225E4"/>
    <w:rsid w:val="00E22616"/>
    <w:rsid w:val="00E27596"/>
    <w:rsid w:val="00E447CC"/>
    <w:rsid w:val="00E655F0"/>
    <w:rsid w:val="00E662DE"/>
    <w:rsid w:val="00E7154B"/>
    <w:rsid w:val="00E877F3"/>
    <w:rsid w:val="00EA370D"/>
    <w:rsid w:val="00EB2CC6"/>
    <w:rsid w:val="00EC1803"/>
    <w:rsid w:val="00ED3E6E"/>
    <w:rsid w:val="00EE388E"/>
    <w:rsid w:val="00EF1650"/>
    <w:rsid w:val="00EF7CB3"/>
    <w:rsid w:val="00F148BB"/>
    <w:rsid w:val="00F3465E"/>
    <w:rsid w:val="00F3769C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961DB"/>
    <w:rsid w:val="00FA2826"/>
    <w:rsid w:val="00FB6993"/>
    <w:rsid w:val="00FC186C"/>
    <w:rsid w:val="00FC1F88"/>
    <w:rsid w:val="00FD5E6C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965B5FFFE714E0AB9F654661CB6E3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1EF40-5A13-4F61-84CE-7B7F3251181F}"/>
      </w:docPartPr>
      <w:docPartBody>
        <w:p w:rsidR="003927C6" w:rsidRDefault="002065F1" w:rsidP="002065F1">
          <w:pPr>
            <w:pStyle w:val="1965B5FFFE714E0AB9F654661CB6E3C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C7FAD"/>
    <w:rsid w:val="00174710"/>
    <w:rsid w:val="001757F1"/>
    <w:rsid w:val="002065F1"/>
    <w:rsid w:val="002A46C2"/>
    <w:rsid w:val="002F6584"/>
    <w:rsid w:val="0032768B"/>
    <w:rsid w:val="003927C6"/>
    <w:rsid w:val="00413B06"/>
    <w:rsid w:val="00442FDD"/>
    <w:rsid w:val="00444E37"/>
    <w:rsid w:val="005B4F02"/>
    <w:rsid w:val="005B6F27"/>
    <w:rsid w:val="00627FF0"/>
    <w:rsid w:val="006D71B4"/>
    <w:rsid w:val="00822DAD"/>
    <w:rsid w:val="00866220"/>
    <w:rsid w:val="00921B1E"/>
    <w:rsid w:val="009F26E3"/>
    <w:rsid w:val="009F44BC"/>
    <w:rsid w:val="00B06720"/>
    <w:rsid w:val="00B742AB"/>
    <w:rsid w:val="00B95396"/>
    <w:rsid w:val="00BE0568"/>
    <w:rsid w:val="00C428FC"/>
    <w:rsid w:val="00D40BA7"/>
    <w:rsid w:val="00D51389"/>
    <w:rsid w:val="00D9754A"/>
    <w:rsid w:val="00F4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065F1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1965B5FFFE714E0AB9F654661CB6E3CD">
    <w:name w:val="1965B5FFFE714E0AB9F654661CB6E3CD"/>
    <w:rsid w:val="002065F1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A38F-2549-4314-8345-66E544B4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5148</Words>
  <Characters>29346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14</cp:revision>
  <cp:lastPrinted>2015-12-03T06:22:00Z</cp:lastPrinted>
  <dcterms:created xsi:type="dcterms:W3CDTF">2016-11-15T13:33:00Z</dcterms:created>
  <dcterms:modified xsi:type="dcterms:W3CDTF">2016-12-05T09:17:00Z</dcterms:modified>
</cp:coreProperties>
</file>