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F728E">
            <w:r>
              <w:t xml:space="preserve">Протокол № </w:t>
            </w:r>
            <w:r w:rsidR="00DF728E">
              <w:t>45</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F728E">
            <w:r w:rsidRPr="00E41367">
              <w:t>«</w:t>
            </w:r>
            <w:r w:rsidR="00DF728E">
              <w:t>28</w:t>
            </w:r>
            <w:r w:rsidRPr="00E41367">
              <w:t xml:space="preserve">» </w:t>
            </w:r>
            <w:r w:rsidR="00DF728E">
              <w:t>марта</w:t>
            </w:r>
            <w:r w:rsidRPr="00E41367">
              <w:t xml:space="preserve"> 201</w:t>
            </w:r>
            <w:r w:rsidR="0000170B">
              <w:t>7</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00170B">
        <w:t>0</w:t>
      </w:r>
      <w:r w:rsidR="00326E63">
        <w:t>88</w:t>
      </w:r>
      <w:r w:rsidRPr="004B37EE">
        <w:t>-К</w:t>
      </w:r>
      <w:r w:rsidR="001A3479">
        <w:t>Р</w:t>
      </w:r>
      <w:r w:rsidR="00D32451">
        <w:t>-</w:t>
      </w:r>
      <w:r w:rsidRPr="004B37EE">
        <w:t>201</w:t>
      </w:r>
      <w:r w:rsidR="0000170B">
        <w:t>7</w:t>
      </w:r>
    </w:p>
    <w:p w:rsidR="006E2F20" w:rsidRPr="003F09CB" w:rsidRDefault="006E2F20" w:rsidP="006E2F20">
      <w:r w:rsidRPr="003F09CB">
        <w:t>«</w:t>
      </w:r>
      <w:r w:rsidR="00DF728E">
        <w:t>28</w:t>
      </w:r>
      <w:r w:rsidRPr="003F09CB">
        <w:t xml:space="preserve">» </w:t>
      </w:r>
      <w:r w:rsidR="00DF728E">
        <w:t>марта</w:t>
      </w:r>
      <w:r w:rsidRPr="003F09CB">
        <w:t xml:space="preserve"> 201</w:t>
      </w:r>
      <w:r w:rsidR="0000170B">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27291F" w:rsidRPr="0027291F">
        <w:rPr>
          <w:b/>
        </w:rPr>
        <w:t xml:space="preserve">оказание услуг по технической поддержке лицензионного программного обеспечения </w:t>
      </w:r>
      <w:r w:rsidR="0027291F" w:rsidRPr="0027291F">
        <w:rPr>
          <w:b/>
          <w:lang w:val="en-US"/>
        </w:rPr>
        <w:t>Novell</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00170B">
        <w:t>оказание</w:t>
      </w:r>
      <w:r w:rsidR="006F0547">
        <w:t xml:space="preserve"> </w:t>
      </w:r>
      <w:r w:rsidRPr="00407AC6">
        <w:t>вышеуказанны</w:t>
      </w:r>
      <w:r>
        <w:t>х</w:t>
      </w:r>
      <w:r w:rsidRPr="00407AC6">
        <w:t xml:space="preserve"> </w:t>
      </w:r>
      <w:r w:rsidR="0000170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 xml:space="preserve">Отбор проводится в </w:t>
      </w:r>
      <w:r w:rsidR="00AE4C90">
        <w:t>один</w:t>
      </w:r>
      <w:r w:rsidRPr="00407AC6">
        <w:t xml:space="preserve"> этап</w:t>
      </w:r>
      <w:r w:rsidR="001A204E">
        <w:t>: оценка технико-</w:t>
      </w:r>
      <w:r w:rsidR="001A204E" w:rsidRPr="00407AC6">
        <w:t>коммерческой</w:t>
      </w:r>
      <w:r w:rsidR="001A204E">
        <w:t xml:space="preserve"> части</w:t>
      </w:r>
      <w:r w:rsidR="001A204E" w:rsidRPr="00407AC6">
        <w:t xml:space="preserve"> оферт</w:t>
      </w:r>
      <w:r w:rsidRPr="00407AC6">
        <w:t xml:space="preserve"> </w:t>
      </w:r>
      <w:r w:rsidR="00AE4C90">
        <w:t>с</w:t>
      </w:r>
      <w:r w:rsidR="001A204E">
        <w:t xml:space="preserve"> последующим</w:t>
      </w:r>
      <w:r w:rsidR="00AE4C90">
        <w:t xml:space="preserve"> запросом улучшения оферты</w:t>
      </w:r>
      <w:r w:rsidRPr="006C6D68">
        <w:t>.</w:t>
      </w:r>
    </w:p>
    <w:p w:rsidR="00681044" w:rsidRDefault="00681044" w:rsidP="00F61A9F">
      <w:pPr>
        <w:ind w:firstLine="720"/>
        <w:jc w:val="both"/>
      </w:pPr>
      <w:r w:rsidRPr="00AF3240">
        <w:t xml:space="preserve">При </w:t>
      </w:r>
      <w:r w:rsidR="0067366C">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rsidR="00AE4C90">
        <w:t>а</w:t>
      </w:r>
      <w:r>
        <w:t>.</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00170B" w:rsidRDefault="0000170B" w:rsidP="00F61A9F">
      <w:pPr>
        <w:ind w:firstLine="720"/>
        <w:jc w:val="both"/>
        <w:rPr>
          <w:rFonts w:cs="Arial"/>
          <w:szCs w:val="22"/>
        </w:rPr>
      </w:pPr>
    </w:p>
    <w:p w:rsidR="0000170B" w:rsidRDefault="0000170B" w:rsidP="00F61A9F">
      <w:pPr>
        <w:ind w:firstLine="720"/>
        <w:jc w:val="both"/>
        <w:rPr>
          <w:b/>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00170B" w:rsidRDefault="0000170B" w:rsidP="00F61A9F">
      <w:pPr>
        <w:ind w:firstLine="720"/>
        <w:jc w:val="both"/>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27291F">
        <w:rPr>
          <w:b/>
        </w:rPr>
        <w:t>30</w:t>
      </w:r>
      <w:r>
        <w:rPr>
          <w:b/>
        </w:rPr>
        <w:t xml:space="preserve"> </w:t>
      </w:r>
      <w:r w:rsidR="0027291F">
        <w:rPr>
          <w:b/>
        </w:rPr>
        <w:t>июн</w:t>
      </w:r>
      <w:r w:rsidR="00E82055">
        <w:rPr>
          <w:b/>
        </w:rPr>
        <w:t>я</w:t>
      </w:r>
      <w:r w:rsidRPr="008234DD">
        <w:rPr>
          <w:b/>
        </w:rPr>
        <w:t xml:space="preserve"> 201</w:t>
      </w:r>
      <w:r w:rsidR="0000170B">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5D41E6" w:rsidP="00236DB0">
      <w:pPr>
        <w:numPr>
          <w:ilvl w:val="0"/>
          <w:numId w:val="8"/>
        </w:numPr>
        <w:tabs>
          <w:tab w:val="clear" w:pos="720"/>
          <w:tab w:val="num" w:pos="644"/>
          <w:tab w:val="num" w:pos="993"/>
        </w:tabs>
        <w:autoSpaceDE w:val="0"/>
        <w:ind w:left="993" w:hanging="426"/>
        <w:jc w:val="both"/>
      </w:pPr>
      <w:r w:rsidRPr="00196ED6">
        <w:t xml:space="preserve">Информационное письмо, адресованное Контрагенту и выданное ООО «Новелл СНГ» </w:t>
      </w:r>
      <w:r w:rsidRPr="00196ED6">
        <w:softHyphen/>
      </w:r>
      <w:r w:rsidRPr="00196ED6">
        <w:softHyphen/>
        <w:t xml:space="preserve">– компанией-официальным представителем производителя программного обеспечения в </w:t>
      </w:r>
      <w:r w:rsidRPr="00196ED6">
        <w:lastRenderedPageBreak/>
        <w:t>России, в том, что Контрагент является официальным / авторизованным партнёром компании Micro Focus и SUSE в России со статусом не ниже «Зарегистрированный Партн</w:t>
      </w:r>
      <w:r>
        <w:t>ё</w:t>
      </w:r>
      <w:r w:rsidRPr="00196ED6">
        <w:t>р» (Registered Partner)</w:t>
      </w:r>
      <w:r w:rsidR="00A85036">
        <w:t>.</w:t>
      </w:r>
    </w:p>
    <w:p w:rsidR="007C72D8" w:rsidRDefault="007C72D8" w:rsidP="00A85036">
      <w:pPr>
        <w:autoSpaceDE w:val="0"/>
        <w:ind w:left="993"/>
        <w:jc w:val="both"/>
      </w:pPr>
    </w:p>
    <w:p w:rsidR="007C72D8" w:rsidRPr="007C72D8" w:rsidRDefault="007C72D8" w:rsidP="007C1AD8">
      <w:pPr>
        <w:autoSpaceDE w:val="0"/>
        <w:ind w:left="993"/>
        <w:jc w:val="both"/>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DF728E">
        <w:rPr>
          <w:b/>
          <w:bCs/>
        </w:rPr>
        <w:t>28</w:t>
      </w:r>
      <w:r w:rsidRPr="000156BF">
        <w:rPr>
          <w:b/>
          <w:bCs/>
        </w:rPr>
        <w:t xml:space="preserve">» </w:t>
      </w:r>
      <w:r w:rsidR="00DF728E">
        <w:rPr>
          <w:b/>
          <w:bCs/>
        </w:rPr>
        <w:t>марта</w:t>
      </w:r>
      <w:r w:rsidRPr="000156BF">
        <w:rPr>
          <w:b/>
          <w:bCs/>
        </w:rPr>
        <w:t xml:space="preserve"> 201</w:t>
      </w:r>
      <w:r w:rsidR="0000170B">
        <w:rPr>
          <w:b/>
          <w:bCs/>
        </w:rPr>
        <w:t>7</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DF728E">
        <w:rPr>
          <w:b/>
          <w:bCs/>
        </w:rPr>
        <w:t>16</w:t>
      </w:r>
      <w:r w:rsidR="00DE5CC2">
        <w:rPr>
          <w:b/>
        </w:rPr>
        <w:t>:</w:t>
      </w:r>
      <w:r w:rsidR="00DF728E">
        <w:rPr>
          <w:b/>
        </w:rPr>
        <w:t>00</w:t>
      </w:r>
      <w:r w:rsidRPr="000156BF">
        <w:rPr>
          <w:b/>
        </w:rPr>
        <w:t xml:space="preserve"> (время </w:t>
      </w:r>
      <w:r w:rsidRPr="00330AE7">
        <w:rPr>
          <w:b/>
        </w:rPr>
        <w:t>московское)</w:t>
      </w:r>
      <w:r w:rsidR="004C0570">
        <w:rPr>
          <w:b/>
        </w:rPr>
        <w:t xml:space="preserve"> </w:t>
      </w:r>
      <w:r w:rsidRPr="00330AE7">
        <w:rPr>
          <w:b/>
          <w:bCs/>
        </w:rPr>
        <w:t>«</w:t>
      </w:r>
      <w:r w:rsidR="00DF728E">
        <w:rPr>
          <w:b/>
          <w:bCs/>
        </w:rPr>
        <w:t>05</w:t>
      </w:r>
      <w:r w:rsidR="00DE5CC2" w:rsidRPr="00330AE7">
        <w:rPr>
          <w:b/>
          <w:bCs/>
        </w:rPr>
        <w:t xml:space="preserve">» </w:t>
      </w:r>
      <w:r w:rsidR="00DF728E">
        <w:rPr>
          <w:b/>
          <w:bCs/>
        </w:rPr>
        <w:t xml:space="preserve">апреля </w:t>
      </w:r>
      <w:r w:rsidRPr="00330AE7">
        <w:rPr>
          <w:b/>
          <w:bCs/>
        </w:rPr>
        <w:t>201</w:t>
      </w:r>
      <w:r w:rsidR="0000170B">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6B29C2">
        <w:rPr>
          <w:b/>
          <w:bCs/>
        </w:rPr>
        <w:t>3</w:t>
      </w:r>
      <w:r w:rsidR="0027291F">
        <w:rPr>
          <w:b/>
          <w:bCs/>
        </w:rPr>
        <w:t>0</w:t>
      </w:r>
      <w:r w:rsidRPr="00330AE7">
        <w:rPr>
          <w:b/>
          <w:bCs/>
        </w:rPr>
        <w:t xml:space="preserve">» </w:t>
      </w:r>
      <w:r w:rsidR="0027291F">
        <w:rPr>
          <w:b/>
          <w:bCs/>
        </w:rPr>
        <w:t>июн</w:t>
      </w:r>
      <w:r w:rsidR="00E82055">
        <w:rPr>
          <w:b/>
          <w:bCs/>
        </w:rPr>
        <w:t>я</w:t>
      </w:r>
      <w:r w:rsidRPr="00330AE7">
        <w:rPr>
          <w:b/>
          <w:bCs/>
        </w:rPr>
        <w:t xml:space="preserve"> 201</w:t>
      </w:r>
      <w:r w:rsidR="0000170B">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694F1E">
        <w:rPr>
          <w:b/>
          <w:u w:val="single"/>
        </w:rPr>
        <w:t>0</w:t>
      </w:r>
      <w:r w:rsidR="0027291F">
        <w:rPr>
          <w:b/>
          <w:u w:val="single"/>
        </w:rPr>
        <w:t>88</w:t>
      </w:r>
      <w:r>
        <w:rPr>
          <w:b/>
          <w:u w:val="single"/>
        </w:rPr>
        <w:t>-К</w:t>
      </w:r>
      <w:r w:rsidR="006953C7">
        <w:rPr>
          <w:b/>
          <w:u w:val="single"/>
        </w:rPr>
        <w:t>Р</w:t>
      </w:r>
      <w:r>
        <w:rPr>
          <w:b/>
          <w:u w:val="single"/>
        </w:rPr>
        <w:t>-201</w:t>
      </w:r>
      <w:r w:rsidR="0000170B">
        <w:rPr>
          <w:b/>
          <w:u w:val="single"/>
        </w:rPr>
        <w:t>7</w:t>
      </w:r>
      <w:r>
        <w:rPr>
          <w:b/>
          <w:u w:val="single"/>
        </w:rPr>
        <w:t>».</w:t>
      </w:r>
    </w:p>
    <w:p w:rsidR="00C37311" w:rsidRDefault="00C37311" w:rsidP="000E3711">
      <w:pPr>
        <w:ind w:firstLine="681"/>
        <w:jc w:val="both"/>
      </w:pPr>
    </w:p>
    <w:p w:rsidR="004D53AA" w:rsidRDefault="004D53AA" w:rsidP="004D53AA">
      <w:pPr>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A91FFB" w:rsidRPr="007F27EE" w:rsidRDefault="00A91FFB" w:rsidP="00537FBF">
      <w:pPr>
        <w:ind w:left="851"/>
        <w:jc w:val="both"/>
        <w:rPr>
          <w:sz w:val="20"/>
          <w:szCs w:val="20"/>
        </w:rPr>
      </w:pP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4D53AA" w:rsidRDefault="004D53AA" w:rsidP="004D53AA">
      <w:pPr>
        <w:ind w:left="709"/>
        <w:jc w:val="both"/>
      </w:pPr>
    </w:p>
    <w:p w:rsidR="00537FBF" w:rsidRDefault="004D53AA" w:rsidP="004D53AA">
      <w:pPr>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4D53AA" w:rsidRPr="00293FD1" w:rsidRDefault="004D53AA" w:rsidP="004D53AA">
      <w:pPr>
        <w:ind w:left="709"/>
        <w:jc w:val="both"/>
        <w:rPr>
          <w:color w:val="FF0000"/>
          <w:sz w:val="20"/>
          <w:szCs w:val="2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028C2" w:rsidRDefault="007028C2" w:rsidP="00F044F7">
      <w:pPr>
        <w:ind w:firstLine="708"/>
        <w:jc w:val="both"/>
        <w:rPr>
          <w:rFonts w:cs="Arial"/>
          <w:b/>
          <w:szCs w:val="22"/>
        </w:rPr>
      </w:pP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DF728E">
        <w:rPr>
          <w:rStyle w:val="afd"/>
          <w:rFonts w:ascii="Times New Roman" w:hAnsi="Times New Roman"/>
          <w:color w:val="auto"/>
          <w:u w:val="none"/>
        </w:rPr>
        <w:t>03</w:t>
      </w:r>
      <w:r>
        <w:rPr>
          <w:rStyle w:val="afd"/>
          <w:rFonts w:ascii="Times New Roman" w:hAnsi="Times New Roman"/>
          <w:color w:val="auto"/>
          <w:u w:val="none"/>
        </w:rPr>
        <w:t xml:space="preserve">» </w:t>
      </w:r>
      <w:r w:rsidR="00DF728E">
        <w:rPr>
          <w:rStyle w:val="afd"/>
          <w:rFonts w:ascii="Times New Roman" w:hAnsi="Times New Roman"/>
          <w:color w:val="auto"/>
          <w:u w:val="none"/>
        </w:rPr>
        <w:t>апреля</w:t>
      </w:r>
      <w:r>
        <w:rPr>
          <w:rStyle w:val="afd"/>
          <w:rFonts w:ascii="Times New Roman" w:hAnsi="Times New Roman"/>
          <w:color w:val="auto"/>
          <w:u w:val="none"/>
        </w:rPr>
        <w:t xml:space="preserve"> 201</w:t>
      </w:r>
      <w:r w:rsidR="004877D3">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lastRenderedPageBreak/>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DF728E" w:rsidP="00D748C0">
      <w:pPr>
        <w:spacing w:before="120"/>
        <w:rPr>
          <w:bCs/>
          <w:szCs w:val="16"/>
        </w:rPr>
      </w:pPr>
      <w:r>
        <w:rPr>
          <w:bCs/>
          <w:szCs w:val="16"/>
        </w:rPr>
        <w:t xml:space="preserve">Ведущий специалист Тендерного комитета </w:t>
      </w:r>
    </w:p>
    <w:p w:rsidR="00D748C0" w:rsidRPr="00403947" w:rsidRDefault="00DF728E" w:rsidP="00D748C0">
      <w:r>
        <w:t>Кириллова Надежда Владимировна</w:t>
      </w:r>
    </w:p>
    <w:p w:rsidR="00D748C0" w:rsidRPr="00403947" w:rsidRDefault="00D748C0" w:rsidP="00D748C0">
      <w:r w:rsidRPr="00403947">
        <w:t xml:space="preserve">Контактные данные: (4852) </w:t>
      </w:r>
      <w:r w:rsidR="00DF728E">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D23029" w:rsidRPr="009E69B7">
          <w:rPr>
            <w:rStyle w:val="afd"/>
            <w:rFonts w:ascii="Times New Roman" w:hAnsi="Times New Roman"/>
            <w:lang w:val="en-US"/>
          </w:rPr>
          <w:t>KirillovaNV</w:t>
        </w:r>
        <w:r w:rsidR="00D23029" w:rsidRPr="009E69B7">
          <w:rPr>
            <w:rStyle w:val="afd"/>
            <w:rFonts w:ascii="Times New Roman" w:hAnsi="Times New Roman"/>
          </w:rPr>
          <w:t>@</w:t>
        </w:r>
        <w:r w:rsidR="00D23029" w:rsidRPr="009E69B7">
          <w:rPr>
            <w:rStyle w:val="afd"/>
            <w:rFonts w:ascii="Times New Roman" w:hAnsi="Times New Roman"/>
            <w:lang w:val="en-US"/>
          </w:rPr>
          <w:t>yanos</w:t>
        </w:r>
        <w:r w:rsidR="00D23029" w:rsidRPr="009E69B7">
          <w:rPr>
            <w:rStyle w:val="afd"/>
            <w:rFonts w:ascii="Times New Roman" w:hAnsi="Times New Roman"/>
          </w:rPr>
          <w:t>.</w:t>
        </w:r>
        <w:r w:rsidR="00D23029" w:rsidRPr="009E69B7">
          <w:rPr>
            <w:rStyle w:val="afd"/>
            <w:rFonts w:ascii="Times New Roman" w:hAnsi="Times New Roman"/>
            <w:lang w:val="en-US"/>
          </w:rPr>
          <w:t>slavneft</w:t>
        </w:r>
        <w:r w:rsidR="00D23029" w:rsidRPr="009E69B7">
          <w:rPr>
            <w:rStyle w:val="afd"/>
            <w:rFonts w:ascii="Times New Roman" w:hAnsi="Times New Roman"/>
          </w:rPr>
          <w:t>.</w:t>
        </w:r>
        <w:r w:rsidR="00D23029" w:rsidRPr="009E69B7">
          <w:rPr>
            <w:rStyle w:val="afd"/>
            <w:rFonts w:ascii="Times New Roman" w:hAnsi="Times New Roman"/>
            <w:lang w:val="en-US"/>
          </w:rPr>
          <w:t>ru</w:t>
        </w:r>
      </w:hyperlink>
    </w:p>
    <w:p w:rsidR="00D748C0" w:rsidRPr="00BE67B4" w:rsidRDefault="00D23029"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w:t>
      </w:r>
      <w:r w:rsidRPr="00AF3240">
        <w:rPr>
          <w:rFonts w:cs="Arial"/>
          <w:szCs w:val="22"/>
        </w:rPr>
        <w:lastRenderedPageBreak/>
        <w:t xml:space="preserve">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w:t>
      </w:r>
      <w:r w:rsidR="004877D3">
        <w:rPr>
          <w:color w:val="000000"/>
        </w:rPr>
        <w:t>50023, г.</w:t>
      </w:r>
      <w:r>
        <w:rPr>
          <w:color w:val="000000"/>
        </w:rPr>
        <w:t>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520976" w:rsidRDefault="00520976" w:rsidP="00520976">
      <w:pPr>
        <w:ind w:left="284" w:hanging="284"/>
        <w:jc w:val="both"/>
        <w:rPr>
          <w:rFonts w:cs="Arial"/>
          <w:color w:val="000000"/>
          <w:szCs w:val="22"/>
        </w:rPr>
      </w:pPr>
      <w:r w:rsidRPr="006501BF">
        <w:t xml:space="preserve">Перечень документов в составе Предложения делать оферты № </w:t>
      </w:r>
      <w:r>
        <w:t>0</w:t>
      </w:r>
      <w:r w:rsidR="0027291F">
        <w:t>88</w:t>
      </w:r>
      <w:r>
        <w:t>-КР-2017</w:t>
      </w:r>
      <w:r w:rsidRPr="006501BF">
        <w:t xml:space="preserve"> от «</w:t>
      </w:r>
      <w:r w:rsidR="00D23029">
        <w:t>28</w:t>
      </w:r>
      <w:r w:rsidRPr="006501BF">
        <w:t xml:space="preserve">» </w:t>
      </w:r>
      <w:r w:rsidR="00D23029">
        <w:t>марта</w:t>
      </w:r>
      <w:r w:rsidRPr="006501BF">
        <w:t xml:space="preserve"> 201</w:t>
      </w:r>
      <w:r>
        <w:t>7</w:t>
      </w:r>
      <w:r w:rsidRPr="006501BF">
        <w:t>г.</w:t>
      </w:r>
    </w:p>
    <w:p w:rsidR="00520976" w:rsidRDefault="00520976" w:rsidP="00520976">
      <w:pPr>
        <w:ind w:left="284" w:hanging="284"/>
        <w:jc w:val="both"/>
        <w:rPr>
          <w:rFonts w:cs="Arial"/>
          <w:color w:val="000000"/>
          <w:szCs w:val="22"/>
        </w:rPr>
      </w:pPr>
    </w:p>
    <w:p w:rsidR="00520976" w:rsidRPr="004B2987" w:rsidRDefault="00520976" w:rsidP="00520976">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520976" w:rsidRDefault="00520976" w:rsidP="00520976">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520976" w:rsidRPr="004B2987" w:rsidRDefault="00520976" w:rsidP="00520976">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A93D6C" w:rsidRDefault="00520976" w:rsidP="00520976">
      <w:pPr>
        <w:ind w:left="284" w:hanging="284"/>
        <w:jc w:val="both"/>
        <w:rPr>
          <w:rFonts w:cs="Arial"/>
          <w:b/>
          <w:szCs w:val="22"/>
        </w:rPr>
      </w:pPr>
      <w:r w:rsidRPr="004B2987">
        <w:rPr>
          <w:rFonts w:cs="Arial"/>
          <w:color w:val="000000"/>
          <w:szCs w:val="22"/>
        </w:rPr>
        <w:t>6. Пере</w:t>
      </w:r>
      <w:r>
        <w:rPr>
          <w:rFonts w:cs="Arial"/>
          <w:color w:val="000000"/>
          <w:szCs w:val="22"/>
        </w:rPr>
        <w:t>чень аффилированных организаций</w:t>
      </w:r>
      <w:r w:rsidRPr="004B2987">
        <w:rPr>
          <w:rFonts w:cs="Arial"/>
          <w:color w:val="000000"/>
          <w:szCs w:val="22"/>
        </w:rPr>
        <w:t xml:space="preserve"> (</w:t>
      </w:r>
      <w:r>
        <w:rPr>
          <w:rFonts w:cs="Arial"/>
          <w:color w:val="000000"/>
          <w:szCs w:val="22"/>
        </w:rPr>
        <w:t>Приложение</w:t>
      </w:r>
      <w:r w:rsidRPr="004B2987">
        <w:rPr>
          <w:rFonts w:cs="Arial"/>
          <w:color w:val="000000"/>
          <w:szCs w:val="22"/>
        </w:rPr>
        <w:t xml:space="preserve"> </w:t>
      </w:r>
      <w:r>
        <w:rPr>
          <w:rFonts w:cs="Arial"/>
          <w:color w:val="000000"/>
          <w:szCs w:val="22"/>
        </w:rPr>
        <w:t>№5</w:t>
      </w:r>
      <w:r w:rsidRPr="004B2987">
        <w:rPr>
          <w:rFonts w:cs="Arial"/>
          <w:color w:val="000000"/>
          <w:szCs w:val="22"/>
        </w:rPr>
        <w:t>) в 1 экз.</w:t>
      </w: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520976" w:rsidRDefault="00520976" w:rsidP="00A93D6C">
      <w:pPr>
        <w:rPr>
          <w:rFonts w:cs="Arial"/>
          <w:b/>
          <w:szCs w:val="22"/>
        </w:rPr>
      </w:pPr>
    </w:p>
    <w:p w:rsidR="007E7FB8" w:rsidRDefault="00A93D6C" w:rsidP="00D23029">
      <w:pPr>
        <w:rPr>
          <w:b/>
          <w:bCs/>
        </w:rPr>
      </w:pPr>
      <w:r>
        <w:rPr>
          <w:rFonts w:cs="Arial"/>
          <w:b/>
          <w:szCs w:val="22"/>
        </w:rPr>
        <w:t>Директор по снабжению</w:t>
      </w:r>
      <w:r>
        <w:rPr>
          <w:rFonts w:cs="Arial"/>
          <w:b/>
          <w:szCs w:val="22"/>
        </w:rPr>
        <w:tab/>
        <w:t xml:space="preserve">                                   </w:t>
      </w:r>
      <w:r w:rsidR="00A85036">
        <w:rPr>
          <w:rFonts w:cs="Arial"/>
          <w:b/>
          <w:szCs w:val="22"/>
        </w:rPr>
        <w:t xml:space="preserve">                     </w:t>
      </w:r>
      <w:r>
        <w:rPr>
          <w:rFonts w:cs="Arial"/>
          <w:b/>
          <w:szCs w:val="22"/>
        </w:rPr>
        <w:t xml:space="preserve">____________________ </w:t>
      </w:r>
      <w:r w:rsidR="00A85036">
        <w:rPr>
          <w:rFonts w:cs="Arial"/>
          <w:b/>
          <w:szCs w:val="22"/>
        </w:rPr>
        <w:t>Д</w:t>
      </w:r>
      <w:r>
        <w:rPr>
          <w:rFonts w:cs="Arial"/>
          <w:b/>
          <w:szCs w:val="22"/>
        </w:rPr>
        <w:t>.</w:t>
      </w:r>
      <w:r w:rsidR="00A85036">
        <w:rPr>
          <w:rFonts w:cs="Arial"/>
          <w:b/>
          <w:szCs w:val="22"/>
        </w:rPr>
        <w:t>Ю</w:t>
      </w:r>
      <w:r>
        <w:rPr>
          <w:rFonts w:cs="Arial"/>
          <w:b/>
          <w:szCs w:val="22"/>
        </w:rPr>
        <w:t xml:space="preserve">. </w:t>
      </w:r>
      <w:r w:rsidR="00A85036">
        <w:rPr>
          <w:rFonts w:cs="Arial"/>
          <w:b/>
          <w:szCs w:val="22"/>
        </w:rPr>
        <w:t>Уржум</w:t>
      </w:r>
      <w:r>
        <w:rPr>
          <w:rFonts w:cs="Arial"/>
          <w:b/>
          <w:szCs w:val="22"/>
        </w:rPr>
        <w:t>ов</w:t>
      </w:r>
      <w:bookmarkStart w:id="0" w:name="_GoBack"/>
      <w:bookmarkEnd w:id="0"/>
    </w:p>
    <w:sectPr w:rsidR="007E7FB8" w:rsidSect="00D23029">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70B"/>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AB1"/>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91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057B"/>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E63"/>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77D3"/>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C7F8C"/>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0976"/>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1E6"/>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78B"/>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036"/>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029"/>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28E"/>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64D17A3"/>
  <w15:docId w15:val="{36426BF9-7E51-47B8-AF11-407468D9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3223D-EF20-418A-B178-C77A2167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1867</Words>
  <Characters>10644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12487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4</cp:revision>
  <cp:lastPrinted>2017-03-28T13:31:00Z</cp:lastPrinted>
  <dcterms:created xsi:type="dcterms:W3CDTF">2017-03-07T08:14:00Z</dcterms:created>
  <dcterms:modified xsi:type="dcterms:W3CDTF">2017-03-28T13:32:00Z</dcterms:modified>
</cp:coreProperties>
</file>