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8775B2">
        <w:rPr>
          <w:sz w:val="24"/>
          <w:szCs w:val="24"/>
        </w:rPr>
        <w:t>к договору № _____________ 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Ростехнадзора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«Багира»,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8775B2" w:rsidRPr="008775B2" w:rsidTr="00D6328C">
        <w:tc>
          <w:tcPr>
            <w:tcW w:w="5070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D6328C">
        <w:tc>
          <w:tcPr>
            <w:tcW w:w="5070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4" w:type="dxa"/>
            <w:shd w:val="clear" w:color="auto" w:fill="auto"/>
          </w:tcPr>
          <w:p w:rsidR="008775B2" w:rsidRDefault="006F7539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6328C">
              <w:rPr>
                <w:sz w:val="24"/>
                <w:szCs w:val="24"/>
              </w:rPr>
              <w:t>иректор по капитальному строительству</w:t>
            </w:r>
          </w:p>
          <w:p w:rsidR="00D6328C" w:rsidRPr="008775B2" w:rsidRDefault="00D6328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D6328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_______________________</w:t>
            </w:r>
            <w:r w:rsidR="00D6328C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6F7539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73D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328C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Червяков Михаил Георгиевич</cp:lastModifiedBy>
  <cp:revision>4</cp:revision>
  <dcterms:created xsi:type="dcterms:W3CDTF">2016-02-29T10:53:00Z</dcterms:created>
  <dcterms:modified xsi:type="dcterms:W3CDTF">2016-06-10T11:17:00Z</dcterms:modified>
</cp:coreProperties>
</file>