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3E7AA6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комплексным заданием на проектирование № КЗП-Т10 (техническое перевооружение цехов № 1, 3)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3E7AA6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7F4C4A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7F4C4A">
            <w:rPr>
              <w:sz w:val="22"/>
              <w:szCs w:val="22"/>
            </w:rPr>
            <w:t xml:space="preserve"> экспертизы промышленной безопасности в </w:t>
          </w:r>
          <w:r w:rsidRPr="007F4C4A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120128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120128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C68F9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proofErr w:type="spellStart"/>
          <w:r>
            <w:rPr>
              <w:sz w:val="22"/>
              <w:szCs w:val="22"/>
            </w:rPr>
            <w:t>Комлексное</w:t>
          </w:r>
          <w:proofErr w:type="spellEnd"/>
          <w:r>
            <w:rPr>
              <w:sz w:val="22"/>
              <w:szCs w:val="22"/>
            </w:rPr>
            <w:t xml:space="preserve"> з</w:t>
          </w:r>
          <w:r w:rsidR="00CE4FB6" w:rsidRPr="009C5702">
            <w:rPr>
              <w:sz w:val="22"/>
              <w:szCs w:val="22"/>
            </w:rPr>
            <w:t>адание на проектирование</w:t>
          </w:r>
          <w:r>
            <w:rPr>
              <w:sz w:val="22"/>
              <w:szCs w:val="22"/>
            </w:rPr>
            <w:t xml:space="preserve"> № КЗП-Т10</w:t>
          </w:r>
          <w:r w:rsidR="00CE4FB6" w:rsidRPr="009C5702">
            <w:rPr>
              <w:sz w:val="22"/>
              <w:szCs w:val="22"/>
            </w:rPr>
            <w:t xml:space="preserve">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надзора.</w:t>
          </w:r>
        </w:p>
        <w:p w:rsidR="005C3727" w:rsidRPr="009C5702" w:rsidRDefault="003E7AA6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AA6" w:rsidRDefault="003E7AA6">
      <w:r>
        <w:separator/>
      </w:r>
    </w:p>
  </w:endnote>
  <w:endnote w:type="continuationSeparator" w:id="0">
    <w:p w:rsidR="003E7AA6" w:rsidRDefault="003E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0B6D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AA6" w:rsidRDefault="003E7AA6">
      <w:r>
        <w:separator/>
      </w:r>
    </w:p>
  </w:footnote>
  <w:footnote w:type="continuationSeparator" w:id="0">
    <w:p w:rsidR="003E7AA6" w:rsidRDefault="003E7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dxS/5ymoj3f5zvRJauPHLDN8oE=" w:salt="T7nu/EdGsv47bUc6TYXilg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0128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AA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0B6D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C68F9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90907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B96963"/>
    <w:rsid w:val="00C750A2"/>
    <w:rsid w:val="00C80E1E"/>
    <w:rsid w:val="00D9251A"/>
    <w:rsid w:val="00E76ADC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3384-4569-48E2-A0A0-E6CDA9FC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5491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14</cp:revision>
  <cp:lastPrinted>2011-05-24T07:15:00Z</cp:lastPrinted>
  <dcterms:created xsi:type="dcterms:W3CDTF">2015-03-24T12:14:00Z</dcterms:created>
  <dcterms:modified xsi:type="dcterms:W3CDTF">2015-05-06T13:05:00Z</dcterms:modified>
</cp:coreProperties>
</file>