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B2783" w:rsidRPr="001B2783">
            <w:rPr>
              <w:b/>
              <w:bCs/>
              <w:sz w:val="22"/>
              <w:szCs w:val="22"/>
            </w:rPr>
            <w:tab/>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541976585"/>
              <w:placeholder>
                <w:docPart w:val="3A64E4A99BDE4AD696C7326B08DDE6A1"/>
              </w:placeholder>
            </w:sdtPr>
            <w:sdtContent>
              <w:sdt>
                <w:sdtPr>
                  <w:rPr>
                    <w:b/>
                    <w:sz w:val="22"/>
                    <w:szCs w:val="22"/>
                  </w:rPr>
                  <w:id w:val="2068297683"/>
                  <w:placeholder>
                    <w:docPart w:val="BDAA834C60EB4731A1BD623F02B28B19"/>
                  </w:placeholder>
                </w:sdtPr>
                <w:sdtContent>
                  <w:r w:rsidR="00715C06" w:rsidRPr="002F4EB7">
                    <w:rPr>
                      <w:b/>
                    </w:rPr>
                    <w:t>по техническому перевооружению</w:t>
                  </w:r>
                  <w:r w:rsidR="00715C06">
                    <w:rPr>
                      <w:b/>
                    </w:rPr>
                    <w:t xml:space="preserve"> объектов цеха № 4: установок</w:t>
                  </w:r>
                  <w:r w:rsidR="00715C06" w:rsidRPr="002A4146">
                    <w:t xml:space="preserve"> </w:t>
                  </w:r>
                  <w:r w:rsidR="00715C06" w:rsidRPr="002A4146">
                    <w:rPr>
                      <w:b/>
                    </w:rPr>
                    <w:t>ЛЧ-24/7, Л-24/6</w:t>
                  </w:r>
                  <w:r w:rsidR="00715C06">
                    <w:rPr>
                      <w:b/>
                    </w:rPr>
                    <w:t>, ГОБКК, ГОДТ,</w:t>
                  </w:r>
                  <w:r w:rsidR="00715C06" w:rsidRPr="00E43A06">
                    <w:t xml:space="preserve"> </w:t>
                  </w:r>
                </w:sdtContent>
              </w:sdt>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sdt>
                    <w:sdtPr>
                      <w:rPr>
                        <w:b/>
                        <w:sz w:val="22"/>
                        <w:szCs w:val="22"/>
                      </w:rPr>
                      <w:id w:val="149256728"/>
                      <w:placeholder>
                        <w:docPart w:val="5AD0CF5C65F14C97B269B068E2913E02"/>
                      </w:placeholder>
                    </w:sdtPr>
                    <w:sdtContent>
                      <w:sdt>
                        <w:sdtPr>
                          <w:rPr>
                            <w:b/>
                            <w:sz w:val="22"/>
                            <w:szCs w:val="22"/>
                          </w:rPr>
                          <w:id w:val="-1998178705"/>
                          <w:placeholder>
                            <w:docPart w:val="B486F3AEC1BA49C6A0932234A0F92162"/>
                          </w:placeholder>
                        </w:sdtPr>
                        <w:sdtContent>
                          <w:r w:rsidR="00715C06" w:rsidRPr="00224A61">
                            <w:rPr>
                              <w:bCs/>
                              <w:color w:val="000000"/>
                              <w:sz w:val="22"/>
                              <w:szCs w:val="22"/>
                            </w:rPr>
                            <w:t xml:space="preserve">по Л-24/6 – </w:t>
                          </w:r>
                          <w:r w:rsidR="00715C06">
                            <w:rPr>
                              <w:bCs/>
                              <w:color w:val="000000"/>
                              <w:sz w:val="22"/>
                              <w:szCs w:val="22"/>
                            </w:rPr>
                            <w:t>6.03.</w:t>
                          </w:r>
                          <w:r w:rsidR="00715C06" w:rsidRPr="00224A61">
                            <w:rPr>
                              <w:bCs/>
                              <w:color w:val="000000"/>
                              <w:sz w:val="22"/>
                              <w:szCs w:val="22"/>
                            </w:rPr>
                            <w:t>2017 г.</w:t>
                          </w:r>
                        </w:sdtContent>
                      </w:sdt>
                    </w:sdtContent>
                  </w:sdt>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0079031"/>
              <w:placeholder>
                <w:docPart w:val="55A33807CCC84010B125BA405AE339C9"/>
              </w:placeholder>
            </w:sdtPr>
            <w:sdtContent>
              <w:r w:rsidR="00715C06" w:rsidRPr="00224A61">
                <w:rPr>
                  <w:bCs/>
                  <w:color w:val="000000"/>
                  <w:sz w:val="22"/>
                  <w:szCs w:val="22"/>
                </w:rPr>
                <w:t xml:space="preserve">по Л-24/6 – </w:t>
              </w:r>
              <w:r w:rsidR="00715C06">
                <w:rPr>
                  <w:bCs/>
                  <w:color w:val="000000"/>
                  <w:sz w:val="22"/>
                  <w:szCs w:val="22"/>
                </w:rPr>
                <w:t>30.03.</w:t>
              </w:r>
              <w:r w:rsidR="00715C06" w:rsidRPr="00224A61">
                <w:rPr>
                  <w:bCs/>
                  <w:color w:val="000000"/>
                  <w:sz w:val="22"/>
                  <w:szCs w:val="22"/>
                </w:rPr>
                <w:t>2017 г</w:t>
              </w:r>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715C06">
            <w:rPr>
              <w:rFonts w:cs="Times New Roman"/>
              <w:sz w:val="22"/>
              <w:szCs w:val="22"/>
            </w:rPr>
            <w:t>начало работ по ГОБКК – 6.03.2017 г, окончание работ по ГОБКК – 4.04.2017 г.</w:t>
          </w:r>
          <w:r w:rsidR="00715C06">
            <w:rPr>
              <w:rFonts w:cs="Times New Roman"/>
              <w:sz w:val="22"/>
              <w:szCs w:val="22"/>
            </w:rPr>
            <w:tab/>
          </w:r>
          <w:r w:rsidR="00715C06">
            <w:rPr>
              <w:rFonts w:cs="Times New Roman"/>
              <w:sz w:val="22"/>
              <w:szCs w:val="22"/>
            </w:rPr>
            <w:tab/>
          </w:r>
          <w:r w:rsidR="00715C06">
            <w:rPr>
              <w:rFonts w:cs="Times New Roman"/>
              <w:sz w:val="22"/>
              <w:szCs w:val="22"/>
            </w:rPr>
            <w:tab/>
            <w:t>начало работ по ЛЧ-24/7 и ГОДТ – 1.04.2017 г, окончание работ по ЛЧ-24/7 и ГОДТ – 5.12.2017 г.</w:t>
          </w:r>
          <w:r w:rsidR="00715C06">
            <w:rPr>
              <w:rFonts w:cs="Times New Roman"/>
              <w:sz w:val="22"/>
              <w:szCs w:val="22"/>
            </w:rPr>
            <w:tab/>
          </w:r>
          <w:r w:rsidR="00715C06">
            <w:rPr>
              <w:rFonts w:cs="Times New Roman"/>
              <w:sz w:val="22"/>
              <w:szCs w:val="22"/>
            </w:rPr>
            <w:tab/>
          </w:r>
          <w:r w:rsidR="00715C06" w:rsidRPr="001E6F88">
            <w:rPr>
              <w:bCs/>
              <w:sz w:val="22"/>
              <w:szCs w:val="22"/>
            </w:rPr>
            <w:t>По работам:</w:t>
          </w:r>
          <w:r w:rsidR="00715C06" w:rsidRPr="001E6F88">
            <w:rPr>
              <w:sz w:val="22"/>
              <w:szCs w:val="22"/>
            </w:rPr>
            <w:t xml:space="preserve"> </w:t>
          </w:r>
          <w:proofErr w:type="gramStart"/>
          <w:r w:rsidR="00715C06" w:rsidRPr="001E6F88">
            <w:rPr>
              <w:sz w:val="22"/>
              <w:szCs w:val="22"/>
            </w:rPr>
            <w:t xml:space="preserve">«Замена источников бесперебойного питания ИБП-1,2  PW-9150  8кВА  на </w:t>
          </w:r>
          <w:r w:rsidR="00715C06">
            <w:rPr>
              <w:sz w:val="22"/>
              <w:szCs w:val="22"/>
            </w:rPr>
            <w:t xml:space="preserve">установке </w:t>
          </w:r>
          <w:r w:rsidR="00715C06" w:rsidRPr="001E6F88">
            <w:rPr>
              <w:sz w:val="22"/>
              <w:szCs w:val="22"/>
            </w:rPr>
            <w:t xml:space="preserve">Л-24/6», «Замена отсечных и запорно-регулирующих клапанов (5 шт.), регулирующего клапана на байпасе блока КЦА </w:t>
          </w:r>
          <w:r w:rsidR="00715C06">
            <w:rPr>
              <w:sz w:val="22"/>
              <w:szCs w:val="22"/>
            </w:rPr>
            <w:t xml:space="preserve">установки </w:t>
          </w:r>
          <w:r w:rsidR="00715C06" w:rsidRPr="001E6F88">
            <w:rPr>
              <w:sz w:val="22"/>
              <w:szCs w:val="22"/>
            </w:rPr>
            <w:t xml:space="preserve">Л-24/6», «Замена электродвигателя насоса Р-103А на </w:t>
          </w:r>
          <w:r w:rsidR="00715C06">
            <w:rPr>
              <w:sz w:val="22"/>
              <w:szCs w:val="22"/>
            </w:rPr>
            <w:t xml:space="preserve">установке </w:t>
          </w:r>
          <w:r w:rsidR="00715C06" w:rsidRPr="001E6F88">
            <w:rPr>
              <w:sz w:val="22"/>
              <w:szCs w:val="22"/>
            </w:rPr>
            <w:t>ГОБКК»</w:t>
          </w:r>
          <w:r w:rsidR="00715C06">
            <w:rPr>
              <w:sz w:val="22"/>
              <w:szCs w:val="22"/>
            </w:rPr>
            <w:t xml:space="preserve"> </w:t>
          </w:r>
          <w:r w:rsidR="00715C06" w:rsidRPr="001E6F88">
            <w:rPr>
              <w:bCs/>
              <w:sz w:val="22"/>
              <w:szCs w:val="22"/>
            </w:rPr>
            <w:t>срок окончания работ - 05.12.2017</w:t>
          </w:r>
          <w:r w:rsidR="00715C06">
            <w:rPr>
              <w:bCs/>
              <w:sz w:val="22"/>
              <w:szCs w:val="22"/>
            </w:rPr>
            <w:t xml:space="preserve"> </w:t>
          </w:r>
          <w:r w:rsidR="00715C06" w:rsidRPr="001E6F88">
            <w:rPr>
              <w:bCs/>
              <w:sz w:val="22"/>
              <w:szCs w:val="22"/>
            </w:rPr>
            <w:t>г.</w:t>
          </w:r>
          <w:r w:rsidR="00715C06">
            <w:rPr>
              <w:bCs/>
              <w:sz w:val="22"/>
              <w:szCs w:val="22"/>
            </w:rPr>
            <w:t xml:space="preserve">  </w:t>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r>
          <w:r w:rsidR="00715C06">
            <w:rPr>
              <w:bCs/>
              <w:sz w:val="22"/>
              <w:szCs w:val="22"/>
            </w:rPr>
            <w:tab/>
            <w:t xml:space="preserve">  </w:t>
          </w:r>
          <w:r w:rsidR="00715C06" w:rsidRPr="001E6F88">
            <w:rPr>
              <w:bCs/>
              <w:color w:val="000000"/>
              <w:sz w:val="22"/>
              <w:szCs w:val="22"/>
            </w:rPr>
            <w:t>Сроки начала работ по решению Заказчика могут быть изменены, но общая продолжительность работ в период простоя технологического объекта на капитальном</w:t>
          </w:r>
          <w:proofErr w:type="gramEnd"/>
          <w:r w:rsidR="00715C06" w:rsidRPr="001E6F88">
            <w:rPr>
              <w:bCs/>
              <w:color w:val="000000"/>
              <w:sz w:val="22"/>
              <w:szCs w:val="22"/>
            </w:rPr>
            <w:t xml:space="preserve"> </w:t>
          </w:r>
          <w:proofErr w:type="gramStart"/>
          <w:r w:rsidR="00715C06" w:rsidRPr="001E6F88">
            <w:rPr>
              <w:bCs/>
              <w:color w:val="000000"/>
              <w:sz w:val="22"/>
              <w:szCs w:val="22"/>
            </w:rPr>
            <w:t>ремонте</w:t>
          </w:r>
          <w:proofErr w:type="gramEnd"/>
          <w:r w:rsidR="00715C06" w:rsidRPr="001E6F88">
            <w:rPr>
              <w:bCs/>
              <w:color w:val="000000"/>
              <w:sz w:val="22"/>
              <w:szCs w:val="22"/>
            </w:rPr>
            <w:t xml:space="preserve"> при этом останется неизменной и составит:</w:t>
          </w:r>
          <w:r w:rsidR="00715C06">
            <w:rPr>
              <w:bCs/>
              <w:color w:val="000000"/>
              <w:sz w:val="22"/>
              <w:szCs w:val="22"/>
            </w:rPr>
            <w:t xml:space="preserve"> </w:t>
          </w:r>
          <w:r w:rsidR="00715C06" w:rsidRPr="001E6F88">
            <w:rPr>
              <w:bCs/>
              <w:color w:val="000000"/>
              <w:sz w:val="22"/>
              <w:szCs w:val="22"/>
            </w:rPr>
            <w:t>по установке Л-24/6 - 25 календарных дней;</w:t>
          </w:r>
          <w:r w:rsidR="00715C06">
            <w:rPr>
              <w:bCs/>
              <w:color w:val="000000"/>
              <w:sz w:val="22"/>
              <w:szCs w:val="22"/>
            </w:rPr>
            <w:t xml:space="preserve"> </w:t>
          </w:r>
          <w:r w:rsidR="00715C06" w:rsidRPr="001E6F88">
            <w:rPr>
              <w:bCs/>
              <w:color w:val="000000"/>
              <w:sz w:val="22"/>
              <w:szCs w:val="22"/>
            </w:rPr>
            <w:t>по установке ГОБКК</w:t>
          </w:r>
          <w:r w:rsidR="00715C06">
            <w:rPr>
              <w:bCs/>
              <w:color w:val="000000"/>
              <w:sz w:val="22"/>
              <w:szCs w:val="22"/>
            </w:rPr>
            <w:t xml:space="preserve"> </w:t>
          </w:r>
          <w:r w:rsidR="00715C06" w:rsidRPr="001E6F88">
            <w:rPr>
              <w:bCs/>
              <w:color w:val="000000"/>
              <w:sz w:val="22"/>
              <w:szCs w:val="22"/>
            </w:rPr>
            <w:t>- 30 календарных дней</w:t>
          </w:r>
          <w:r w:rsidR="00715C06">
            <w:rPr>
              <w:bCs/>
              <w:color w:val="000000"/>
              <w:sz w:val="22"/>
              <w:szCs w:val="22"/>
            </w:rPr>
            <w:t xml:space="preserve">.  </w:t>
          </w:r>
          <w:r w:rsidR="00715C06" w:rsidRPr="001E6F88">
            <w:rPr>
              <w:bCs/>
              <w:color w:val="000000"/>
              <w:sz w:val="22"/>
              <w:szCs w:val="22"/>
            </w:rPr>
            <w:t xml:space="preserve">По предварительному согласованию с Заказчиком допускается выполнение части работ в </w:t>
          </w:r>
          <w:proofErr w:type="spellStart"/>
          <w:r w:rsidR="00715C06" w:rsidRPr="001E6F88">
            <w:rPr>
              <w:bCs/>
              <w:color w:val="000000"/>
              <w:sz w:val="22"/>
              <w:szCs w:val="22"/>
            </w:rPr>
            <w:t>предостановочный</w:t>
          </w:r>
          <w:proofErr w:type="spellEnd"/>
          <w:r w:rsidR="00715C06" w:rsidRPr="001E6F88">
            <w:rPr>
              <w:bCs/>
              <w:color w:val="000000"/>
              <w:sz w:val="22"/>
              <w:szCs w:val="22"/>
            </w:rPr>
            <w:t xml:space="preserve"> период, ранее 06 марта 2017 г.</w:t>
          </w:r>
          <w:r w:rsidR="00715C06">
            <w:rPr>
              <w:bCs/>
              <w:color w:val="000000"/>
              <w:sz w:val="22"/>
              <w:szCs w:val="22"/>
            </w:rPr>
            <w:t xml:space="preserve"> </w:t>
          </w:r>
          <w:r w:rsidR="00715C06" w:rsidRPr="001E6F88">
            <w:rPr>
              <w:bCs/>
              <w:color w:val="000000"/>
              <w:sz w:val="22"/>
              <w:szCs w:val="22"/>
            </w:rPr>
            <w:t>По предварительному согласованию с Заказчиком возможно окончание работ по антикоррозионной защите и теплоизоляции - до 05 июня 2017 г.</w:t>
          </w:r>
          <w:r w:rsidR="00715C06">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b/>
                <w:sz w:val="22"/>
                <w:szCs w:val="22"/>
              </w:rPr>
              <w:id w:val="-931738295"/>
              <w:placeholder>
                <w:docPart w:val="8D861C4D91C745579C3173AE09D733FD"/>
              </w:placeholder>
            </w:sdtPr>
            <w:sdtContent>
              <w:sdt>
                <w:sdtPr>
                  <w:rPr>
                    <w:b/>
                    <w:sz w:val="22"/>
                    <w:szCs w:val="22"/>
                  </w:rPr>
                  <w:id w:val="932404864"/>
                  <w:placeholder>
                    <w:docPart w:val="06D1D92C3B7A46FE9FE8DC3B868DA634"/>
                  </w:placeholder>
                </w:sdtPr>
                <w:sdtContent>
                  <w:r w:rsidR="00715C06" w:rsidRPr="002F4EB7">
                    <w:rPr>
                      <w:b/>
                    </w:rPr>
                    <w:t>по техническому перевооружению</w:t>
                  </w:r>
                  <w:r w:rsidR="00715C06">
                    <w:rPr>
                      <w:b/>
                    </w:rPr>
                    <w:t xml:space="preserve"> объектов цеха № 4: установок</w:t>
                  </w:r>
                  <w:r w:rsidR="00715C06" w:rsidRPr="002A4146">
                    <w:t xml:space="preserve"> </w:t>
                  </w:r>
                  <w:r w:rsidR="00715C06" w:rsidRPr="002A4146">
                    <w:rPr>
                      <w:b/>
                    </w:rPr>
                    <w:t>ЛЧ-24/7, Л-24/6</w:t>
                  </w:r>
                  <w:r w:rsidR="00715C06">
                    <w:rPr>
                      <w:b/>
                    </w:rPr>
                    <w:t>, ГОБКК, ГОДТ,</w:t>
                  </w:r>
                  <w:bookmarkStart w:id="0" w:name="_GoBack"/>
                  <w:bookmarkEnd w:id="0"/>
                </w:sdtContent>
              </w:sdt>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r w:rsidR="001B2783">
            <w:rPr>
              <w:sz w:val="22"/>
              <w:szCs w:val="22"/>
            </w:rPr>
            <w:t xml:space="preserve"> </w:t>
          </w:r>
          <w:r w:rsidR="001B2783" w:rsidRPr="005015B5">
            <w:rPr>
              <w:sz w:val="22"/>
              <w:szCs w:val="22"/>
            </w:rPr>
            <w:t xml:space="preserve">При выполнении врезок в резервуары </w:t>
          </w:r>
          <w:r w:rsidR="001B2783">
            <w:rPr>
              <w:sz w:val="22"/>
              <w:szCs w:val="22"/>
            </w:rPr>
            <w:t>Генподрядчик</w:t>
          </w:r>
          <w:r w:rsidR="001B2783" w:rsidRPr="005015B5">
            <w:rPr>
              <w:sz w:val="22"/>
              <w:szCs w:val="22"/>
            </w:rPr>
            <w:t xml:space="preserve"> </w:t>
          </w:r>
          <w:proofErr w:type="gramStart"/>
          <w:r w:rsidR="001B2783" w:rsidRPr="005015B5">
            <w:rPr>
              <w:sz w:val="22"/>
              <w:szCs w:val="22"/>
            </w:rPr>
            <w:t>предоставляет заключение</w:t>
          </w:r>
          <w:proofErr w:type="gramEnd"/>
          <w:r w:rsidR="001B2783" w:rsidRPr="005015B5">
            <w:rPr>
              <w:sz w:val="22"/>
              <w:szCs w:val="22"/>
            </w:rPr>
            <w:t xml:space="preserve"> экспертизы промышленной безопасности на техническое устройство.</w:t>
          </w:r>
          <w:r w:rsidR="001B2783">
            <w:rPr>
              <w:sz w:val="22"/>
              <w:szCs w:val="22"/>
            </w:rPr>
            <w:t xml:space="preserve"> </w:t>
          </w:r>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lastRenderedPageBreak/>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F54" w:rsidRDefault="006B3F54" w:rsidP="00F37490">
      <w:r>
        <w:separator/>
      </w:r>
    </w:p>
  </w:endnote>
  <w:endnote w:type="continuationSeparator" w:id="0">
    <w:p w:rsidR="006B3F54" w:rsidRDefault="006B3F5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F54" w:rsidRDefault="006B3F54" w:rsidP="00F37490">
      <w:r>
        <w:separator/>
      </w:r>
    </w:p>
  </w:footnote>
  <w:footnote w:type="continuationSeparator" w:id="0">
    <w:p w:rsidR="006B3F54" w:rsidRDefault="006B3F5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4" w:rsidRDefault="00751D2F">
    <w:pPr>
      <w:pStyle w:val="aa"/>
      <w:jc w:val="center"/>
    </w:pPr>
    <w:r>
      <w:fldChar w:fldCharType="begin"/>
    </w:r>
    <w:r w:rsidR="00715C06">
      <w:instrText xml:space="preserve"> PAGE   \* MERGEFORMAT </w:instrText>
    </w:r>
    <w:r>
      <w:fldChar w:fldCharType="separate"/>
    </w:r>
    <w:r w:rsidR="002768BD">
      <w:rPr>
        <w:noProof/>
      </w:rPr>
      <w:t>13</w:t>
    </w:r>
    <w:r>
      <w:rPr>
        <w:noProof/>
      </w:rPr>
      <w:fldChar w:fldCharType="end"/>
    </w:r>
  </w:p>
  <w:p w:rsidR="006B3F54" w:rsidRDefault="006B3F5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B2783"/>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768BD"/>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D5F51"/>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3F54"/>
    <w:rsid w:val="006B6D70"/>
    <w:rsid w:val="006C1CB4"/>
    <w:rsid w:val="006D1916"/>
    <w:rsid w:val="006D21EC"/>
    <w:rsid w:val="006E609E"/>
    <w:rsid w:val="006F1144"/>
    <w:rsid w:val="006F7725"/>
    <w:rsid w:val="00701A6B"/>
    <w:rsid w:val="0070230E"/>
    <w:rsid w:val="00715C06"/>
    <w:rsid w:val="00723C7F"/>
    <w:rsid w:val="0073132B"/>
    <w:rsid w:val="0074090B"/>
    <w:rsid w:val="00742C3E"/>
    <w:rsid w:val="007434C4"/>
    <w:rsid w:val="00751D2F"/>
    <w:rsid w:val="00751FA7"/>
    <w:rsid w:val="00757948"/>
    <w:rsid w:val="00766DE1"/>
    <w:rsid w:val="00775A96"/>
    <w:rsid w:val="00777404"/>
    <w:rsid w:val="00777959"/>
    <w:rsid w:val="0078658C"/>
    <w:rsid w:val="0079076A"/>
    <w:rsid w:val="007936F9"/>
    <w:rsid w:val="00796F4A"/>
    <w:rsid w:val="007A70D0"/>
    <w:rsid w:val="007A7FED"/>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658C9"/>
    <w:rsid w:val="00870D04"/>
    <w:rsid w:val="0087711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773B5"/>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39C8"/>
    <w:rsid w:val="00A866DD"/>
    <w:rsid w:val="00AA24B2"/>
    <w:rsid w:val="00AA2EC3"/>
    <w:rsid w:val="00AB0102"/>
    <w:rsid w:val="00AB022C"/>
    <w:rsid w:val="00AB1A80"/>
    <w:rsid w:val="00AB244C"/>
    <w:rsid w:val="00AC38F5"/>
    <w:rsid w:val="00AC5B43"/>
    <w:rsid w:val="00AC6CE4"/>
    <w:rsid w:val="00AC7D93"/>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3BD2"/>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6B08"/>
    <w:rsid w:val="00E57EA0"/>
    <w:rsid w:val="00E70340"/>
    <w:rsid w:val="00E76883"/>
    <w:rsid w:val="00E7726F"/>
    <w:rsid w:val="00E840CE"/>
    <w:rsid w:val="00E87691"/>
    <w:rsid w:val="00E9598E"/>
    <w:rsid w:val="00EA0FFC"/>
    <w:rsid w:val="00EA7F47"/>
    <w:rsid w:val="00EB46B6"/>
    <w:rsid w:val="00EB472E"/>
    <w:rsid w:val="00EC02CD"/>
    <w:rsid w:val="00EC0BD3"/>
    <w:rsid w:val="00EC4006"/>
    <w:rsid w:val="00EC4D3E"/>
    <w:rsid w:val="00EC6627"/>
    <w:rsid w:val="00ED6BA5"/>
    <w:rsid w:val="00ED7F82"/>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7544E"/>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E57B9"/>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7571FE"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7571FE" w:rsidRDefault="004A1299" w:rsidP="004A1299">
          <w:pPr>
            <w:pStyle w:val="98D9F5B7C1FA4D358162262EFC6E140D"/>
          </w:pPr>
          <w:r w:rsidRPr="007D3E37">
            <w:rPr>
              <w:rStyle w:val="a3"/>
              <w:rFonts w:eastAsia="Calibri"/>
            </w:rPr>
            <w:t>Место для ввода текста.</w:t>
          </w:r>
        </w:p>
      </w:docPartBody>
    </w:docPart>
    <w:docPart>
      <w:docPartPr>
        <w:name w:val="3A64E4A99BDE4AD696C7326B08DDE6A1"/>
        <w:category>
          <w:name w:val="Общие"/>
          <w:gallery w:val="placeholder"/>
        </w:category>
        <w:types>
          <w:type w:val="bbPlcHdr"/>
        </w:types>
        <w:behaviors>
          <w:behavior w:val="content"/>
        </w:behaviors>
        <w:guid w:val="{9B3C5A9B-4E83-4F15-88B6-1CDFCCD6675A}"/>
      </w:docPartPr>
      <w:docPartBody>
        <w:p w:rsidR="003441D0" w:rsidRDefault="001B6885" w:rsidP="001B6885">
          <w:pPr>
            <w:pStyle w:val="3A64E4A99BDE4AD696C7326B08DDE6A1"/>
          </w:pPr>
          <w:r w:rsidRPr="007D3E37">
            <w:rPr>
              <w:rStyle w:val="a3"/>
              <w:rFonts w:eastAsia="Calibri"/>
            </w:rPr>
            <w:t>Место для ввода текста.</w:t>
          </w:r>
        </w:p>
      </w:docPartBody>
    </w:docPart>
    <w:docPart>
      <w:docPartPr>
        <w:name w:val="5AD0CF5C65F14C97B269B068E2913E02"/>
        <w:category>
          <w:name w:val="Общие"/>
          <w:gallery w:val="placeholder"/>
        </w:category>
        <w:types>
          <w:type w:val="bbPlcHdr"/>
        </w:types>
        <w:behaviors>
          <w:behavior w:val="content"/>
        </w:behaviors>
        <w:guid w:val="{298732F8-FA9D-4106-9F50-1115D1136804}"/>
      </w:docPartPr>
      <w:docPartBody>
        <w:p w:rsidR="003441D0" w:rsidRDefault="001B6885" w:rsidP="001B6885">
          <w:pPr>
            <w:pStyle w:val="5AD0CF5C65F14C97B269B068E2913E02"/>
          </w:pPr>
          <w:r w:rsidRPr="007D3E37">
            <w:rPr>
              <w:rStyle w:val="a3"/>
              <w:rFonts w:eastAsia="Calibri"/>
            </w:rPr>
            <w:t>Место для ввода текста.</w:t>
          </w:r>
        </w:p>
      </w:docPartBody>
    </w:docPart>
    <w:docPart>
      <w:docPartPr>
        <w:name w:val="BDAA834C60EB4731A1BD623F02B28B19"/>
        <w:category>
          <w:name w:val="Общие"/>
          <w:gallery w:val="placeholder"/>
        </w:category>
        <w:types>
          <w:type w:val="bbPlcHdr"/>
        </w:types>
        <w:behaviors>
          <w:behavior w:val="content"/>
        </w:behaviors>
        <w:guid w:val="{AB77CEBA-B2A2-4397-A409-1B4EB5B23A16}"/>
      </w:docPartPr>
      <w:docPartBody>
        <w:p w:rsidR="003441D0" w:rsidRDefault="001B6885" w:rsidP="001B6885">
          <w:pPr>
            <w:pStyle w:val="BDAA834C60EB4731A1BD623F02B28B19"/>
          </w:pPr>
          <w:r w:rsidRPr="007D3E37">
            <w:rPr>
              <w:rStyle w:val="a3"/>
              <w:rFonts w:eastAsia="Calibri"/>
            </w:rPr>
            <w:t>Место для ввода текста.</w:t>
          </w:r>
        </w:p>
      </w:docPartBody>
    </w:docPart>
    <w:docPart>
      <w:docPartPr>
        <w:name w:val="B486F3AEC1BA49C6A0932234A0F92162"/>
        <w:category>
          <w:name w:val="Общие"/>
          <w:gallery w:val="placeholder"/>
        </w:category>
        <w:types>
          <w:type w:val="bbPlcHdr"/>
        </w:types>
        <w:behaviors>
          <w:behavior w:val="content"/>
        </w:behaviors>
        <w:guid w:val="{5623D725-3AF9-4CD3-9F79-F08724902D75}"/>
      </w:docPartPr>
      <w:docPartBody>
        <w:p w:rsidR="003441D0" w:rsidRDefault="001B6885" w:rsidP="001B6885">
          <w:pPr>
            <w:pStyle w:val="B486F3AEC1BA49C6A0932234A0F92162"/>
          </w:pPr>
          <w:r w:rsidRPr="007D3E37">
            <w:rPr>
              <w:rStyle w:val="a3"/>
              <w:rFonts w:eastAsia="Calibri"/>
            </w:rPr>
            <w:t>Место для ввода текста.</w:t>
          </w:r>
        </w:p>
      </w:docPartBody>
    </w:docPart>
    <w:docPart>
      <w:docPartPr>
        <w:name w:val="55A33807CCC84010B125BA405AE339C9"/>
        <w:category>
          <w:name w:val="Общие"/>
          <w:gallery w:val="placeholder"/>
        </w:category>
        <w:types>
          <w:type w:val="bbPlcHdr"/>
        </w:types>
        <w:behaviors>
          <w:behavior w:val="content"/>
        </w:behaviors>
        <w:guid w:val="{2A9862A7-864F-472E-A8E7-79399AFD294E}"/>
      </w:docPartPr>
      <w:docPartBody>
        <w:p w:rsidR="003441D0" w:rsidRDefault="001B6885" w:rsidP="001B6885">
          <w:pPr>
            <w:pStyle w:val="55A33807CCC84010B125BA405AE339C9"/>
          </w:pPr>
          <w:r w:rsidRPr="007D3E37">
            <w:rPr>
              <w:rStyle w:val="a3"/>
              <w:rFonts w:eastAsia="Calibri"/>
            </w:rPr>
            <w:t>Место для ввода текста.</w:t>
          </w:r>
        </w:p>
      </w:docPartBody>
    </w:docPart>
    <w:docPart>
      <w:docPartPr>
        <w:name w:val="8D861C4D91C745579C3173AE09D733FD"/>
        <w:category>
          <w:name w:val="Общие"/>
          <w:gallery w:val="placeholder"/>
        </w:category>
        <w:types>
          <w:type w:val="bbPlcHdr"/>
        </w:types>
        <w:behaviors>
          <w:behavior w:val="content"/>
        </w:behaviors>
        <w:guid w:val="{CB528644-AD12-4E83-85F8-B1C1D0E46B7D}"/>
      </w:docPartPr>
      <w:docPartBody>
        <w:p w:rsidR="003441D0" w:rsidRDefault="001B6885" w:rsidP="001B6885">
          <w:pPr>
            <w:pStyle w:val="8D861C4D91C745579C3173AE09D733FD"/>
          </w:pPr>
          <w:r w:rsidRPr="007D3E37">
            <w:rPr>
              <w:rStyle w:val="a3"/>
              <w:rFonts w:eastAsia="Calibri"/>
            </w:rPr>
            <w:t>Место для ввода текста.</w:t>
          </w:r>
        </w:p>
      </w:docPartBody>
    </w:docPart>
    <w:docPart>
      <w:docPartPr>
        <w:name w:val="06D1D92C3B7A46FE9FE8DC3B868DA634"/>
        <w:category>
          <w:name w:val="Общие"/>
          <w:gallery w:val="placeholder"/>
        </w:category>
        <w:types>
          <w:type w:val="bbPlcHdr"/>
        </w:types>
        <w:behaviors>
          <w:behavior w:val="content"/>
        </w:behaviors>
        <w:guid w:val="{22CAC278-825A-4DD9-B9EB-D98152D958BF}"/>
      </w:docPartPr>
      <w:docPartBody>
        <w:p w:rsidR="003441D0" w:rsidRDefault="001B6885" w:rsidP="001B6885">
          <w:pPr>
            <w:pStyle w:val="06D1D92C3B7A46FE9FE8DC3B868DA634"/>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B6885"/>
    <w:rsid w:val="001F55C5"/>
    <w:rsid w:val="002141EC"/>
    <w:rsid w:val="002848C5"/>
    <w:rsid w:val="002957C9"/>
    <w:rsid w:val="002D2E70"/>
    <w:rsid w:val="00320319"/>
    <w:rsid w:val="003441D0"/>
    <w:rsid w:val="003A20E5"/>
    <w:rsid w:val="0041505D"/>
    <w:rsid w:val="00473093"/>
    <w:rsid w:val="004A1299"/>
    <w:rsid w:val="004A585A"/>
    <w:rsid w:val="00535C18"/>
    <w:rsid w:val="00564365"/>
    <w:rsid w:val="00596544"/>
    <w:rsid w:val="005B5FFC"/>
    <w:rsid w:val="005F5E4E"/>
    <w:rsid w:val="006C530A"/>
    <w:rsid w:val="00747539"/>
    <w:rsid w:val="007541BB"/>
    <w:rsid w:val="007571FE"/>
    <w:rsid w:val="008003BB"/>
    <w:rsid w:val="00850292"/>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6885"/>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 w:type="paragraph" w:customStyle="1" w:styleId="3A64E4A99BDE4AD696C7326B08DDE6A1">
    <w:name w:val="3A64E4A99BDE4AD696C7326B08DDE6A1"/>
    <w:rsid w:val="001B6885"/>
  </w:style>
  <w:style w:type="paragraph" w:customStyle="1" w:styleId="5AD0CF5C65F14C97B269B068E2913E02">
    <w:name w:val="5AD0CF5C65F14C97B269B068E2913E02"/>
    <w:rsid w:val="001B6885"/>
  </w:style>
  <w:style w:type="paragraph" w:customStyle="1" w:styleId="BDAA834C60EB4731A1BD623F02B28B19">
    <w:name w:val="BDAA834C60EB4731A1BD623F02B28B19"/>
    <w:rsid w:val="001B6885"/>
  </w:style>
  <w:style w:type="paragraph" w:customStyle="1" w:styleId="B486F3AEC1BA49C6A0932234A0F92162">
    <w:name w:val="B486F3AEC1BA49C6A0932234A0F92162"/>
    <w:rsid w:val="001B6885"/>
  </w:style>
  <w:style w:type="paragraph" w:customStyle="1" w:styleId="55A33807CCC84010B125BA405AE339C9">
    <w:name w:val="55A33807CCC84010B125BA405AE339C9"/>
    <w:rsid w:val="001B6885"/>
  </w:style>
  <w:style w:type="paragraph" w:customStyle="1" w:styleId="8D861C4D91C745579C3173AE09D733FD">
    <w:name w:val="8D861C4D91C745579C3173AE09D733FD"/>
    <w:rsid w:val="001B6885"/>
  </w:style>
  <w:style w:type="paragraph" w:customStyle="1" w:styleId="06D1D92C3B7A46FE9FE8DC3B868DA634">
    <w:name w:val="06D1D92C3B7A46FE9FE8DC3B868DA634"/>
    <w:rsid w:val="001B688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07A28-8D67-4536-91B4-6A3645BCD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8163</Words>
  <Characters>46535</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3</cp:revision>
  <cp:lastPrinted>2014-12-30T11:12:00Z</cp:lastPrinted>
  <dcterms:created xsi:type="dcterms:W3CDTF">2016-09-27T21:45:00Z</dcterms:created>
  <dcterms:modified xsi:type="dcterms:W3CDTF">2016-09-28T07:58:00Z</dcterms:modified>
</cp:coreProperties>
</file>