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8775B2" w:rsidRPr="008775B2" w:rsidTr="00D6328C">
        <w:tc>
          <w:tcPr>
            <w:tcW w:w="5070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D6328C">
        <w:tc>
          <w:tcPr>
            <w:tcW w:w="5070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D6328C" w:rsidRDefault="00D6328C" w:rsidP="008775B2">
            <w:pPr>
              <w:rPr>
                <w:sz w:val="24"/>
                <w:szCs w:val="24"/>
              </w:rPr>
            </w:pPr>
          </w:p>
          <w:p w:rsidR="00D6328C" w:rsidRPr="008775B2" w:rsidRDefault="00D6328C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4" w:type="dxa"/>
            <w:shd w:val="clear" w:color="auto" w:fill="auto"/>
          </w:tcPr>
          <w:p w:rsidR="008775B2" w:rsidRDefault="007A5C63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6328C">
              <w:rPr>
                <w:sz w:val="24"/>
                <w:szCs w:val="24"/>
              </w:rPr>
              <w:t>иректор</w:t>
            </w:r>
            <w:bookmarkStart w:id="0" w:name="_GoBack"/>
            <w:bookmarkEnd w:id="0"/>
            <w:r w:rsidR="00D6328C">
              <w:rPr>
                <w:sz w:val="24"/>
                <w:szCs w:val="24"/>
              </w:rPr>
              <w:t xml:space="preserve"> по капитальному строительству</w:t>
            </w:r>
          </w:p>
          <w:p w:rsidR="007A5C63" w:rsidRDefault="007A5C63" w:rsidP="008775B2">
            <w:pPr>
              <w:rPr>
                <w:sz w:val="24"/>
                <w:szCs w:val="24"/>
              </w:rPr>
            </w:pPr>
          </w:p>
          <w:p w:rsidR="00D6328C" w:rsidRPr="008775B2" w:rsidRDefault="00D6328C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D6328C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</w:t>
            </w:r>
            <w:r w:rsidR="00D6328C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A5C63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73D"/>
    <w:rsid w:val="009A0E29"/>
    <w:rsid w:val="009A7D70"/>
    <w:rsid w:val="009B0425"/>
    <w:rsid w:val="009B0A7B"/>
    <w:rsid w:val="009B4A86"/>
    <w:rsid w:val="009B57E2"/>
    <w:rsid w:val="009C1491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328C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Маслова Елена Сергеевна</cp:lastModifiedBy>
  <cp:revision>5</cp:revision>
  <dcterms:created xsi:type="dcterms:W3CDTF">2016-02-29T10:53:00Z</dcterms:created>
  <dcterms:modified xsi:type="dcterms:W3CDTF">2016-05-04T09:55:00Z</dcterms:modified>
</cp:coreProperties>
</file>