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9446F1">
            <w:pPr>
              <w:spacing w:before="0"/>
              <w:jc w:val="both"/>
              <w:rPr>
                <w:rFonts w:ascii="Times New Roman" w:hAnsi="Times New Roman"/>
                <w:sz w:val="24"/>
              </w:rPr>
            </w:pPr>
            <w:r w:rsidRPr="000127F9">
              <w:rPr>
                <w:rFonts w:ascii="Times New Roman" w:hAnsi="Times New Roman"/>
                <w:sz w:val="24"/>
              </w:rPr>
              <w:t>Протокол  № ___</w:t>
            </w:r>
            <w:r w:rsidR="009446F1">
              <w:rPr>
                <w:rFonts w:ascii="Times New Roman" w:hAnsi="Times New Roman"/>
                <w:sz w:val="24"/>
              </w:rPr>
              <w:t>735</w:t>
            </w:r>
            <w:r w:rsidRPr="000127F9">
              <w:rPr>
                <w:rFonts w:ascii="Times New Roman" w:hAnsi="Times New Roman"/>
                <w:sz w:val="24"/>
              </w:rPr>
              <w:t>__________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9446F1">
            <w:pPr>
              <w:spacing w:before="0"/>
              <w:jc w:val="both"/>
              <w:rPr>
                <w:rFonts w:ascii="Times New Roman" w:hAnsi="Times New Roman"/>
                <w:sz w:val="24"/>
              </w:rPr>
            </w:pPr>
            <w:r w:rsidRPr="000127F9">
              <w:rPr>
                <w:rFonts w:ascii="Times New Roman" w:hAnsi="Times New Roman"/>
                <w:sz w:val="24"/>
              </w:rPr>
              <w:t>«_</w:t>
            </w:r>
            <w:r w:rsidR="009446F1">
              <w:rPr>
                <w:rFonts w:ascii="Times New Roman" w:hAnsi="Times New Roman"/>
                <w:sz w:val="24"/>
              </w:rPr>
              <w:t>30</w:t>
            </w:r>
            <w:r w:rsidRPr="000127F9">
              <w:rPr>
                <w:rFonts w:ascii="Times New Roman" w:hAnsi="Times New Roman"/>
                <w:sz w:val="24"/>
              </w:rPr>
              <w:t>_» __</w:t>
            </w:r>
            <w:r w:rsidR="009446F1">
              <w:rPr>
                <w:rFonts w:ascii="Times New Roman" w:hAnsi="Times New Roman"/>
                <w:sz w:val="24"/>
              </w:rPr>
              <w:t>12</w:t>
            </w:r>
            <w:r w:rsidRPr="000127F9">
              <w:rPr>
                <w:rFonts w:ascii="Times New Roman" w:hAnsi="Times New Roman"/>
                <w:sz w:val="24"/>
              </w:rPr>
              <w:t xml:space="preserve">_____  </w:t>
            </w:r>
            <w:r w:rsidR="009446F1">
              <w:rPr>
                <w:rFonts w:ascii="Times New Roman" w:hAnsi="Times New Roman"/>
                <w:sz w:val="24"/>
              </w:rPr>
              <w:t>2015</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7D7892" w:rsidRPr="009446F1">
        <w:rPr>
          <w:rFonts w:ascii="Times New Roman" w:hAnsi="Times New Roman"/>
          <w:b/>
          <w:sz w:val="24"/>
        </w:rPr>
        <w:t>946</w:t>
      </w:r>
      <w:r w:rsidR="00EA7411" w:rsidRPr="007D7892">
        <w:rPr>
          <w:rFonts w:ascii="Times New Roman" w:hAnsi="Times New Roman"/>
          <w:b/>
          <w:sz w:val="24"/>
        </w:rPr>
        <w:t>/ТК/201</w:t>
      </w:r>
      <w:r w:rsidR="00576586" w:rsidRPr="007D7892">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9446F1">
        <w:rPr>
          <w:rFonts w:ascii="Times New Roman" w:hAnsi="Times New Roman"/>
          <w:b/>
          <w:sz w:val="24"/>
        </w:rPr>
        <w:t>30.12.</w:t>
      </w:r>
      <w:r w:rsidR="00107110">
        <w:rPr>
          <w:rFonts w:ascii="Times New Roman" w:hAnsi="Times New Roman"/>
          <w:b/>
          <w:sz w:val="24"/>
        </w:rPr>
        <w:t>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0E1B3B" w:rsidRPr="000E1B3B">
        <w:rPr>
          <w:rFonts w:ascii="Times New Roman" w:hAnsi="Times New Roman"/>
          <w:b/>
          <w:sz w:val="24"/>
        </w:rPr>
        <w:t>1202</w:t>
      </w:r>
      <w:r w:rsidR="001D67CB" w:rsidRPr="001D67CB">
        <w:rPr>
          <w:rFonts w:ascii="Times New Roman" w:hAnsi="Times New Roman"/>
          <w:b/>
          <w:sz w:val="24"/>
        </w:rPr>
        <w:t xml:space="preserve"> </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0E1B3B">
        <w:rPr>
          <w:rFonts w:ascii="Times New Roman" w:hAnsi="Times New Roman"/>
          <w:b/>
          <w:sz w:val="24"/>
          <w:u w:val="single"/>
        </w:rPr>
        <w:t>Разработка нормативной документации</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2B59C2">
        <w:rPr>
          <w:rFonts w:ascii="Times New Roman" w:hAnsi="Times New Roman"/>
          <w:sz w:val="24"/>
        </w:rPr>
        <w:t>, указанных</w:t>
      </w:r>
      <w:r w:rsidR="002B59C2" w:rsidRPr="002B59C2">
        <w:rPr>
          <w:rFonts w:ascii="Times New Roman" w:hAnsi="Times New Roman"/>
          <w:sz w:val="24"/>
        </w:rPr>
        <w:t xml:space="preserve"> </w:t>
      </w:r>
      <w:r w:rsidR="00C43192">
        <w:rPr>
          <w:rFonts w:ascii="Times New Roman" w:hAnsi="Times New Roman"/>
          <w:sz w:val="24"/>
        </w:rPr>
        <w:t xml:space="preserve">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A22F2E">
        <w:rPr>
          <w:rFonts w:ascii="Times New Roman" w:hAnsi="Times New Roman"/>
          <w:sz w:val="24"/>
        </w:rPr>
        <w:t>31.0</w:t>
      </w:r>
      <w:r w:rsidR="00A22F2E" w:rsidRPr="00A22F2E">
        <w:rPr>
          <w:rFonts w:ascii="Times New Roman" w:hAnsi="Times New Roman"/>
          <w:sz w:val="24"/>
        </w:rPr>
        <w:t>7</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w:t>
      </w:r>
      <w:r w:rsidR="00250473" w:rsidRPr="007D7892">
        <w:rPr>
          <w:rFonts w:ascii="Times New Roman" w:hAnsi="Times New Roman"/>
          <w:b/>
          <w:sz w:val="24"/>
        </w:rPr>
        <w:t xml:space="preserve">№ </w:t>
      </w:r>
      <w:r w:rsidR="007D7892" w:rsidRPr="007D7892">
        <w:rPr>
          <w:rFonts w:ascii="Times New Roman" w:hAnsi="Times New Roman"/>
          <w:b/>
          <w:sz w:val="24"/>
        </w:rPr>
        <w:t>946</w:t>
      </w:r>
      <w:r w:rsidR="00496585" w:rsidRPr="007D7892">
        <w:rPr>
          <w:rFonts w:ascii="Times New Roman" w:hAnsi="Times New Roman"/>
          <w:b/>
          <w:sz w:val="24"/>
        </w:rPr>
        <w:t>/</w:t>
      </w:r>
      <w:r w:rsidR="008A1AF9" w:rsidRPr="007D7892">
        <w:rPr>
          <w:rFonts w:ascii="Times New Roman" w:hAnsi="Times New Roman"/>
          <w:b/>
          <w:sz w:val="24"/>
        </w:rPr>
        <w:t>ТК/2015</w:t>
      </w:r>
      <w:r w:rsidR="008A1AF9" w:rsidRPr="00D12CD3">
        <w:rPr>
          <w:rFonts w:ascii="Times New Roman" w:hAnsi="Times New Roman"/>
          <w:b/>
          <w:sz w:val="24"/>
        </w:rPr>
        <w:t xml:space="preserve">  от _</w:t>
      </w:r>
      <w:r w:rsidR="009446F1">
        <w:rPr>
          <w:rFonts w:ascii="Times New Roman" w:hAnsi="Times New Roman"/>
          <w:b/>
          <w:sz w:val="24"/>
        </w:rPr>
        <w:t>30.12.</w:t>
      </w:r>
      <w:r w:rsidR="008A1AF9" w:rsidRPr="00D12CD3">
        <w:rPr>
          <w:rFonts w:ascii="Times New Roman" w:hAnsi="Times New Roman"/>
          <w:b/>
          <w:sz w:val="24"/>
        </w:rPr>
        <w:t>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9446F1">
        <w:rPr>
          <w:rFonts w:ascii="Times New Roman" w:hAnsi="Times New Roman"/>
          <w:b/>
          <w:sz w:val="24"/>
        </w:rPr>
        <w:t>30</w:t>
      </w:r>
      <w:r w:rsidRPr="00D12CD3">
        <w:rPr>
          <w:rFonts w:ascii="Times New Roman" w:hAnsi="Times New Roman"/>
          <w:b/>
          <w:sz w:val="24"/>
        </w:rPr>
        <w:t>_» __</w:t>
      </w:r>
      <w:r w:rsidR="009446F1">
        <w:rPr>
          <w:rFonts w:ascii="Times New Roman" w:hAnsi="Times New Roman"/>
          <w:b/>
          <w:sz w:val="24"/>
        </w:rPr>
        <w:t>12</w:t>
      </w:r>
      <w:r w:rsidRPr="00D12CD3">
        <w:rPr>
          <w:rFonts w:ascii="Times New Roman" w:hAnsi="Times New Roman"/>
          <w:b/>
          <w:sz w:val="24"/>
        </w:rPr>
        <w:t xml:space="preserve">______________ </w:t>
      </w:r>
      <w:r w:rsidR="009446F1">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9446F1">
        <w:rPr>
          <w:rFonts w:ascii="Times New Roman" w:hAnsi="Times New Roman"/>
          <w:b/>
          <w:sz w:val="24"/>
        </w:rPr>
        <w:t>15</w:t>
      </w:r>
      <w:r w:rsidRPr="00D12CD3">
        <w:rPr>
          <w:rFonts w:ascii="Times New Roman" w:hAnsi="Times New Roman"/>
          <w:b/>
          <w:sz w:val="24"/>
        </w:rPr>
        <w:t>__:__</w:t>
      </w:r>
      <w:r w:rsidR="009446F1">
        <w:rPr>
          <w:rFonts w:ascii="Times New Roman" w:hAnsi="Times New Roman"/>
          <w:b/>
          <w:sz w:val="24"/>
        </w:rPr>
        <w:t xml:space="preserve">00 </w:t>
      </w:r>
      <w:proofErr w:type="gramStart"/>
      <w:r w:rsidR="009446F1">
        <w:rPr>
          <w:rFonts w:ascii="Times New Roman" w:hAnsi="Times New Roman"/>
          <w:b/>
          <w:sz w:val="24"/>
        </w:rPr>
        <w:t>МСК</w:t>
      </w:r>
      <w:proofErr w:type="gramEnd"/>
      <w:r w:rsidRPr="00D12CD3">
        <w:rPr>
          <w:rFonts w:ascii="Times New Roman" w:hAnsi="Times New Roman"/>
          <w:b/>
          <w:sz w:val="24"/>
        </w:rPr>
        <w:t xml:space="preserve"> «_</w:t>
      </w:r>
      <w:r w:rsidR="009446F1">
        <w:rPr>
          <w:rFonts w:ascii="Times New Roman" w:hAnsi="Times New Roman"/>
          <w:b/>
          <w:sz w:val="24"/>
        </w:rPr>
        <w:t>20</w:t>
      </w:r>
      <w:r w:rsidRPr="00D12CD3">
        <w:rPr>
          <w:rFonts w:ascii="Times New Roman" w:hAnsi="Times New Roman"/>
          <w:b/>
          <w:sz w:val="24"/>
        </w:rPr>
        <w:t>__» ____</w:t>
      </w:r>
      <w:r w:rsidR="009446F1">
        <w:rPr>
          <w:rFonts w:ascii="Times New Roman" w:hAnsi="Times New Roman"/>
          <w:b/>
          <w:sz w:val="24"/>
        </w:rPr>
        <w:t>01</w:t>
      </w:r>
      <w:r w:rsidRPr="00D12CD3">
        <w:rPr>
          <w:rFonts w:ascii="Times New Roman" w:hAnsi="Times New Roman"/>
          <w:b/>
          <w:sz w:val="24"/>
        </w:rPr>
        <w:t xml:space="preserve">________ </w:t>
      </w:r>
      <w:r w:rsidR="009446F1">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4C0D5C">
        <w:rPr>
          <w:rFonts w:ascii="Times New Roman" w:hAnsi="Times New Roman"/>
          <w:b/>
          <w:sz w:val="24"/>
        </w:rPr>
        <w:t>июля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970274">
        <w:rPr>
          <w:rFonts w:ascii="Times New Roman" w:hAnsi="Times New Roman"/>
          <w:sz w:val="24"/>
        </w:rPr>
        <w:t>15</w:t>
      </w:r>
      <w:r w:rsidR="00FA3E46" w:rsidRPr="00D12CD3">
        <w:rPr>
          <w:rFonts w:ascii="Times New Roman" w:hAnsi="Times New Roman"/>
          <w:sz w:val="24"/>
        </w:rPr>
        <w:t>__</w:t>
      </w:r>
      <w:r w:rsidR="00D513DB" w:rsidRPr="00D12CD3">
        <w:rPr>
          <w:rFonts w:ascii="Times New Roman" w:hAnsi="Times New Roman"/>
          <w:sz w:val="24"/>
        </w:rPr>
        <w:t>» __</w:t>
      </w:r>
      <w:r w:rsidR="00970274">
        <w:rPr>
          <w:rFonts w:ascii="Times New Roman" w:hAnsi="Times New Roman"/>
          <w:sz w:val="24"/>
        </w:rPr>
        <w:t>01</w:t>
      </w:r>
      <w:r w:rsidR="00D513DB" w:rsidRPr="00D12CD3">
        <w:rPr>
          <w:rFonts w:ascii="Times New Roman" w:hAnsi="Times New Roman"/>
          <w:sz w:val="24"/>
        </w:rPr>
        <w:t>_____________ _</w:t>
      </w:r>
      <w:r w:rsidR="00970274">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BE7561" w:rsidRPr="00D12CD3" w:rsidRDefault="00BE7561" w:rsidP="00BE7561">
      <w:pPr>
        <w:pStyle w:val="af"/>
        <w:rPr>
          <w:rFonts w:ascii="Times New Roman" w:hAnsi="Times New Roman"/>
          <w:sz w:val="24"/>
          <w:szCs w:val="24"/>
        </w:rPr>
      </w:pPr>
      <w:r w:rsidRPr="00D12CD3">
        <w:rPr>
          <w:rFonts w:ascii="Times New Roman" w:hAnsi="Times New Roman"/>
          <w:sz w:val="24"/>
          <w:szCs w:val="24"/>
        </w:rPr>
        <w:t xml:space="preserve">Начальник </w:t>
      </w:r>
      <w:r w:rsidR="0045472B">
        <w:rPr>
          <w:rFonts w:ascii="Times New Roman" w:hAnsi="Times New Roman"/>
          <w:sz w:val="24"/>
          <w:szCs w:val="24"/>
        </w:rPr>
        <w:t>отдела учета нефти и газа</w:t>
      </w:r>
      <w:r w:rsidRPr="00D12CD3">
        <w:rPr>
          <w:rFonts w:ascii="Times New Roman" w:hAnsi="Times New Roman"/>
          <w:sz w:val="24"/>
          <w:szCs w:val="24"/>
        </w:rPr>
        <w:t xml:space="preserve"> </w:t>
      </w:r>
    </w:p>
    <w:p w:rsidR="00BE7561" w:rsidRPr="00D12CD3" w:rsidRDefault="0045472B" w:rsidP="00BE7561">
      <w:pPr>
        <w:pStyle w:val="af"/>
        <w:rPr>
          <w:rFonts w:ascii="Times New Roman" w:hAnsi="Times New Roman"/>
          <w:sz w:val="24"/>
          <w:szCs w:val="24"/>
        </w:rPr>
      </w:pPr>
      <w:r>
        <w:rPr>
          <w:rFonts w:ascii="Times New Roman" w:hAnsi="Times New Roman"/>
          <w:sz w:val="24"/>
          <w:szCs w:val="24"/>
        </w:rPr>
        <w:t xml:space="preserve">Хасанов Айрат </w:t>
      </w:r>
      <w:proofErr w:type="spellStart"/>
      <w:r>
        <w:rPr>
          <w:rFonts w:ascii="Times New Roman" w:hAnsi="Times New Roman"/>
          <w:sz w:val="24"/>
          <w:szCs w:val="24"/>
        </w:rPr>
        <w:t>Маликович</w:t>
      </w:r>
      <w:proofErr w:type="spellEnd"/>
    </w:p>
    <w:p w:rsidR="00BE7561" w:rsidRPr="00D12CD3" w:rsidRDefault="00BE7561" w:rsidP="00BE7561">
      <w:pPr>
        <w:pStyle w:val="af"/>
        <w:rPr>
          <w:rFonts w:ascii="Times New Roman" w:hAnsi="Times New Roman"/>
          <w:color w:val="548DD4"/>
          <w:sz w:val="24"/>
          <w:szCs w:val="24"/>
          <w:u w:val="single"/>
        </w:rPr>
      </w:pPr>
      <w:r w:rsidRPr="00D12CD3">
        <w:rPr>
          <w:rFonts w:ascii="Times New Roman" w:hAnsi="Times New Roman"/>
          <w:sz w:val="24"/>
          <w:szCs w:val="24"/>
        </w:rPr>
        <w:t>тел. (34643) 46-</w:t>
      </w:r>
      <w:r w:rsidR="0045472B">
        <w:rPr>
          <w:rFonts w:ascii="Times New Roman" w:hAnsi="Times New Roman"/>
          <w:sz w:val="24"/>
          <w:szCs w:val="24"/>
        </w:rPr>
        <w:t>278</w:t>
      </w:r>
      <w:r w:rsidRPr="00D12CD3">
        <w:rPr>
          <w:rFonts w:ascii="Times New Roman" w:hAnsi="Times New Roman"/>
          <w:sz w:val="24"/>
          <w:szCs w:val="24"/>
        </w:rPr>
        <w:t xml:space="preserve">, </w:t>
      </w:r>
      <w:hyperlink r:id="rId9" w:history="1">
        <w:r w:rsidR="0045472B" w:rsidRPr="00AB1B9B">
          <w:rPr>
            <w:rStyle w:val="aa"/>
            <w:rFonts w:ascii="Times New Roman" w:hAnsi="Times New Roman"/>
            <w:sz w:val="24"/>
            <w:szCs w:val="24"/>
            <w:lang w:val="en-US"/>
          </w:rPr>
          <w:t>HasanovAM</w:t>
        </w:r>
        <w:r w:rsidR="0045472B" w:rsidRPr="00AB1B9B">
          <w:rPr>
            <w:rStyle w:val="aa"/>
            <w:rFonts w:ascii="Times New Roman" w:hAnsi="Times New Roman"/>
            <w:sz w:val="24"/>
            <w:szCs w:val="24"/>
          </w:rPr>
          <w:t>@mng.slavneft.ru</w:t>
        </w:r>
      </w:hyperlink>
      <w:r w:rsidRPr="00D12CD3">
        <w:rPr>
          <w:rStyle w:val="aa"/>
          <w:rFonts w:ascii="Times New Roman" w:hAnsi="Times New Roman"/>
          <w:sz w:val="24"/>
          <w:szCs w:val="24"/>
        </w:rPr>
        <w:t>;</w:t>
      </w:r>
    </w:p>
    <w:p w:rsidR="00EA132E" w:rsidRPr="00EA132E" w:rsidRDefault="008B5C3E" w:rsidP="008B5C3E">
      <w:pPr>
        <w:tabs>
          <w:tab w:val="left" w:pos="1755"/>
        </w:tabs>
        <w:spacing w:before="0"/>
        <w:jc w:val="both"/>
        <w:rPr>
          <w:rFonts w:ascii="Times New Roman" w:hAnsi="Times New Roman"/>
          <w:sz w:val="24"/>
        </w:rPr>
      </w:pPr>
      <w:r>
        <w:rPr>
          <w:rFonts w:ascii="Times New Roman" w:hAnsi="Times New Roman"/>
          <w:sz w:val="24"/>
        </w:rPr>
        <w:tab/>
      </w:r>
    </w:p>
    <w:p w:rsidR="00EF3857" w:rsidRPr="00D12CD3" w:rsidRDefault="00EF3857" w:rsidP="00EF3857">
      <w:pPr>
        <w:pStyle w:val="af"/>
        <w:rPr>
          <w:rFonts w:ascii="Times New Roman" w:hAnsi="Times New Roman"/>
          <w:sz w:val="24"/>
          <w:szCs w:val="24"/>
        </w:rPr>
      </w:pPr>
      <w:r w:rsidRPr="00D12CD3">
        <w:rPr>
          <w:rFonts w:ascii="Times New Roman" w:hAnsi="Times New Roman"/>
          <w:sz w:val="24"/>
          <w:szCs w:val="24"/>
        </w:rPr>
        <w:t xml:space="preserve">Ведущий инженер </w:t>
      </w:r>
      <w:r w:rsidR="0045472B">
        <w:rPr>
          <w:rFonts w:ascii="Times New Roman" w:hAnsi="Times New Roman"/>
          <w:sz w:val="24"/>
          <w:szCs w:val="24"/>
        </w:rPr>
        <w:t>отдела учета нефти и газа</w:t>
      </w:r>
    </w:p>
    <w:p w:rsidR="00EF3857" w:rsidRPr="0045472B" w:rsidRDefault="0045472B" w:rsidP="00EF3857">
      <w:pPr>
        <w:pStyle w:val="af"/>
        <w:rPr>
          <w:rFonts w:ascii="Times New Roman" w:hAnsi="Times New Roman"/>
          <w:sz w:val="24"/>
          <w:szCs w:val="24"/>
        </w:rPr>
      </w:pPr>
      <w:r>
        <w:rPr>
          <w:rFonts w:ascii="Times New Roman" w:hAnsi="Times New Roman"/>
          <w:sz w:val="24"/>
          <w:szCs w:val="24"/>
        </w:rPr>
        <w:t>Елисеева Ольга Владимировна</w:t>
      </w:r>
    </w:p>
    <w:p w:rsidR="00EF3857" w:rsidRPr="00D12CD3" w:rsidRDefault="00EF3857" w:rsidP="00EF3857">
      <w:pPr>
        <w:pStyle w:val="af"/>
        <w:rPr>
          <w:rStyle w:val="aa"/>
          <w:rFonts w:ascii="Times New Roman" w:hAnsi="Times New Roman"/>
          <w:sz w:val="24"/>
          <w:szCs w:val="24"/>
        </w:rPr>
      </w:pPr>
      <w:r w:rsidRPr="00D12CD3">
        <w:rPr>
          <w:rFonts w:ascii="Times New Roman" w:hAnsi="Times New Roman"/>
          <w:sz w:val="24"/>
          <w:szCs w:val="24"/>
        </w:rPr>
        <w:t>тел. (34643) 46-</w:t>
      </w:r>
      <w:r w:rsidR="0045472B">
        <w:rPr>
          <w:rFonts w:ascii="Times New Roman" w:hAnsi="Times New Roman"/>
          <w:sz w:val="24"/>
          <w:szCs w:val="24"/>
        </w:rPr>
        <w:t>945</w:t>
      </w:r>
      <w:r w:rsidRPr="00D12CD3">
        <w:rPr>
          <w:rFonts w:ascii="Times New Roman" w:hAnsi="Times New Roman"/>
          <w:sz w:val="24"/>
          <w:szCs w:val="24"/>
        </w:rPr>
        <w:t xml:space="preserve">, </w:t>
      </w:r>
      <w:hyperlink r:id="rId10" w:history="1">
        <w:r w:rsidR="0045472B" w:rsidRPr="00AB1B9B">
          <w:rPr>
            <w:rStyle w:val="aa"/>
            <w:rFonts w:ascii="Times New Roman" w:hAnsi="Times New Roman"/>
            <w:sz w:val="24"/>
            <w:szCs w:val="24"/>
            <w:lang w:val="en-US"/>
          </w:rPr>
          <w:t>EliseevaOV</w:t>
        </w:r>
        <w:r w:rsidR="0045472B" w:rsidRPr="00AB1B9B">
          <w:rPr>
            <w:rStyle w:val="aa"/>
            <w:rFonts w:ascii="Times New Roman" w:hAnsi="Times New Roman"/>
            <w:sz w:val="24"/>
            <w:szCs w:val="24"/>
          </w:rPr>
          <w:t>@mng.slavneft.ru</w:t>
        </w:r>
      </w:hyperlink>
      <w:r w:rsidRPr="00D12CD3">
        <w:rPr>
          <w:rStyle w:val="aa"/>
          <w:rFonts w:ascii="Times New Roman" w:hAnsi="Times New Roman"/>
          <w:sz w:val="24"/>
          <w:szCs w:val="24"/>
        </w:rPr>
        <w:t>;</w:t>
      </w:r>
    </w:p>
    <w:p w:rsidR="001F4995" w:rsidRDefault="008B5C3E" w:rsidP="008B5C3E">
      <w:pPr>
        <w:tabs>
          <w:tab w:val="left" w:pos="3060"/>
        </w:tabs>
        <w:spacing w:before="0"/>
        <w:jc w:val="both"/>
        <w:rPr>
          <w:rFonts w:ascii="Times New Roman" w:hAnsi="Times New Roman"/>
          <w:sz w:val="24"/>
        </w:rPr>
      </w:pPr>
      <w:r>
        <w:rPr>
          <w:rFonts w:ascii="Times New Roman" w:hAnsi="Times New Roman"/>
          <w:sz w:val="24"/>
        </w:rPr>
        <w:tab/>
      </w: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8B5C3E" w:rsidP="008B5C3E">
      <w:pPr>
        <w:tabs>
          <w:tab w:val="left" w:pos="2895"/>
        </w:tabs>
        <w:spacing w:before="0"/>
        <w:jc w:val="both"/>
        <w:rPr>
          <w:rFonts w:ascii="Times New Roman" w:hAnsi="Times New Roman"/>
          <w:b/>
          <w:sz w:val="24"/>
        </w:rPr>
      </w:pPr>
      <w:r>
        <w:rPr>
          <w:rFonts w:ascii="Times New Roman" w:hAnsi="Times New Roman"/>
          <w:b/>
          <w:sz w:val="24"/>
        </w:rPr>
        <w:tab/>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45472B" w:rsidRDefault="0045472B" w:rsidP="00EA132E">
      <w:pPr>
        <w:spacing w:before="0"/>
        <w:jc w:val="both"/>
        <w:rPr>
          <w:rFonts w:ascii="Times New Roman" w:hAnsi="Times New Roman"/>
          <w:sz w:val="24"/>
        </w:rPr>
      </w:pPr>
      <w:r>
        <w:rPr>
          <w:rFonts w:ascii="Times New Roman" w:hAnsi="Times New Roman"/>
          <w:sz w:val="24"/>
        </w:rPr>
        <w:t>Посохин Валерий Андреевич</w:t>
      </w:r>
    </w:p>
    <w:p w:rsidR="00EA132E" w:rsidRDefault="003F4022" w:rsidP="00EA132E">
      <w:pPr>
        <w:spacing w:before="0"/>
        <w:jc w:val="both"/>
        <w:rPr>
          <w:rFonts w:ascii="Times New Roman" w:hAnsi="Times New Roman"/>
          <w:sz w:val="24"/>
        </w:rPr>
      </w:pPr>
      <w:r>
        <w:rPr>
          <w:rFonts w:ascii="Times New Roman" w:hAnsi="Times New Roman"/>
          <w:sz w:val="24"/>
        </w:rPr>
        <w:t>тел. (34643) 45-</w:t>
      </w:r>
      <w:r w:rsidR="0045472B">
        <w:rPr>
          <w:rFonts w:ascii="Times New Roman" w:hAnsi="Times New Roman"/>
          <w:sz w:val="24"/>
        </w:rPr>
        <w:t>795</w:t>
      </w:r>
      <w:r w:rsidR="00EA132E" w:rsidRPr="00EA132E">
        <w:rPr>
          <w:rFonts w:ascii="Times New Roman" w:hAnsi="Times New Roman"/>
          <w:sz w:val="24"/>
        </w:rPr>
        <w:t xml:space="preserve">, </w:t>
      </w:r>
      <w:hyperlink r:id="rId11" w:history="1">
        <w:r w:rsidR="0045472B" w:rsidRPr="007D7892">
          <w:rPr>
            <w:rStyle w:val="aa"/>
            <w:rFonts w:ascii="Times New Roman" w:eastAsia="Calibri" w:hAnsi="Times New Roman"/>
            <w:sz w:val="24"/>
            <w:lang w:val="en-US"/>
          </w:rPr>
          <w:t>PosohinVA</w:t>
        </w:r>
        <w:r w:rsidR="0045472B" w:rsidRPr="009446F1">
          <w:rPr>
            <w:rStyle w:val="aa"/>
            <w:rFonts w:ascii="Times New Roman" w:eastAsia="Calibri" w:hAnsi="Times New Roman"/>
            <w:sz w:val="24"/>
          </w:rPr>
          <w:t>@</w:t>
        </w:r>
        <w:r w:rsidR="0045472B" w:rsidRPr="007D7892">
          <w:rPr>
            <w:rStyle w:val="aa"/>
            <w:rFonts w:ascii="Times New Roman" w:eastAsia="Calibri" w:hAnsi="Times New Roman"/>
            <w:sz w:val="24"/>
            <w:lang w:val="en-US"/>
          </w:rPr>
          <w:t>mng</w:t>
        </w:r>
        <w:r w:rsidR="0045472B" w:rsidRPr="009446F1">
          <w:rPr>
            <w:rStyle w:val="aa"/>
            <w:rFonts w:ascii="Times New Roman" w:eastAsia="Calibri" w:hAnsi="Times New Roman"/>
            <w:sz w:val="24"/>
          </w:rPr>
          <w:t>.</w:t>
        </w:r>
        <w:r w:rsidR="0045472B" w:rsidRPr="007D7892">
          <w:rPr>
            <w:rStyle w:val="aa"/>
            <w:rFonts w:ascii="Times New Roman" w:eastAsia="Calibri" w:hAnsi="Times New Roman"/>
            <w:sz w:val="24"/>
            <w:lang w:val="en-US"/>
          </w:rPr>
          <w:t>slavneft</w:t>
        </w:r>
        <w:r w:rsidR="0045472B" w:rsidRPr="009446F1">
          <w:rPr>
            <w:rStyle w:val="aa"/>
            <w:rFonts w:ascii="Times New Roman" w:eastAsia="Calibri" w:hAnsi="Times New Roman"/>
            <w:sz w:val="24"/>
          </w:rPr>
          <w:t>.</w:t>
        </w:r>
        <w:proofErr w:type="spellStart"/>
        <w:r w:rsidR="0045472B" w:rsidRPr="007D7892">
          <w:rPr>
            <w:rStyle w:val="aa"/>
            <w:rFonts w:ascii="Times New Roman" w:eastAsia="Calibri" w:hAnsi="Times New Roman"/>
            <w:sz w:val="24"/>
            <w:lang w:val="en-US"/>
          </w:rPr>
          <w:t>ru</w:t>
        </w:r>
        <w:proofErr w:type="spellEnd"/>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7D7892" w:rsidRPr="007D7892">
        <w:rPr>
          <w:rFonts w:ascii="Times New Roman" w:hAnsi="Times New Roman"/>
          <w:b/>
          <w:sz w:val="24"/>
        </w:rPr>
        <w:t>946</w:t>
      </w:r>
      <w:r w:rsidR="00496585" w:rsidRPr="007D7892">
        <w:rPr>
          <w:rFonts w:ascii="Times New Roman" w:hAnsi="Times New Roman"/>
          <w:b/>
          <w:sz w:val="24"/>
        </w:rPr>
        <w:t>/</w:t>
      </w:r>
      <w:r w:rsidR="00F42CF0" w:rsidRPr="007D7892">
        <w:rPr>
          <w:rFonts w:ascii="Times New Roman" w:hAnsi="Times New Roman"/>
          <w:b/>
          <w:sz w:val="24"/>
        </w:rPr>
        <w:t>ТК/2015</w:t>
      </w:r>
      <w:r w:rsidR="00F42CF0" w:rsidRPr="00D12CD3">
        <w:rPr>
          <w:rFonts w:ascii="Times New Roman" w:hAnsi="Times New Roman"/>
          <w:b/>
          <w:sz w:val="24"/>
        </w:rPr>
        <w:t xml:space="preserve">  от </w:t>
      </w:r>
      <w:r w:rsidR="00B93EBB">
        <w:rPr>
          <w:rFonts w:ascii="Times New Roman" w:hAnsi="Times New Roman"/>
          <w:b/>
          <w:sz w:val="24"/>
        </w:rPr>
        <w:t>30.12.</w:t>
      </w:r>
      <w:r w:rsidR="00F42CF0" w:rsidRPr="00D12CD3">
        <w:rPr>
          <w:rFonts w:ascii="Times New Roman" w:hAnsi="Times New Roman"/>
          <w:b/>
          <w:sz w:val="24"/>
        </w:rPr>
        <w:t>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FC5688" w:rsidRPr="00FC5688">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7D7892" w:rsidRPr="007D7892">
        <w:rPr>
          <w:rFonts w:ascii="Times New Roman" w:hAnsi="Times New Roman"/>
          <w:sz w:val="24"/>
        </w:rPr>
        <w:t>32</w:t>
      </w:r>
      <w:r w:rsidR="004A655B" w:rsidRPr="002C1A55">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8E7A43" w:rsidRPr="00D12CD3" w:rsidRDefault="008E7A43"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B93EBB" w:rsidRDefault="00B93EBB" w:rsidP="00C37F97">
      <w:pPr>
        <w:jc w:val="right"/>
        <w:rPr>
          <w:rFonts w:ascii="Times New Roman" w:hAnsi="Times New Roman"/>
          <w:b/>
          <w:sz w:val="24"/>
        </w:rPr>
      </w:pPr>
    </w:p>
    <w:p w:rsidR="00B93EBB" w:rsidRDefault="00B93EBB" w:rsidP="00C37F97">
      <w:pPr>
        <w:jc w:val="right"/>
        <w:rPr>
          <w:rFonts w:ascii="Times New Roman" w:hAnsi="Times New Roman"/>
          <w:b/>
          <w:sz w:val="24"/>
        </w:rPr>
      </w:pPr>
    </w:p>
    <w:p w:rsidR="00B93EBB" w:rsidRDefault="00B93EBB"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D5010D">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8E6DD7">
        <w:rPr>
          <w:rFonts w:ascii="Times New Roman" w:hAnsi="Times New Roman"/>
          <w:b/>
          <w:color w:val="auto"/>
          <w:sz w:val="24"/>
        </w:rPr>
        <w:t xml:space="preserve"> </w:t>
      </w:r>
      <w:r w:rsidR="00FC5688" w:rsidRPr="00FC5688">
        <w:rPr>
          <w:rFonts w:ascii="Times New Roman" w:hAnsi="Times New Roman"/>
          <w:b/>
          <w:color w:val="auto"/>
          <w:sz w:val="24"/>
        </w:rPr>
        <w:t>946</w:t>
      </w:r>
      <w:r w:rsidR="008D6F5A" w:rsidRPr="00FC5688">
        <w:rPr>
          <w:rFonts w:ascii="Times New Roman" w:hAnsi="Times New Roman"/>
          <w:b/>
          <w:color w:val="auto"/>
          <w:sz w:val="24"/>
        </w:rPr>
        <w:t>/ТК/201</w:t>
      </w:r>
      <w:r w:rsidR="00576586" w:rsidRPr="00FC5688">
        <w:rPr>
          <w:rFonts w:ascii="Times New Roman" w:hAnsi="Times New Roman"/>
          <w:b/>
          <w:color w:val="auto"/>
          <w:sz w:val="24"/>
        </w:rPr>
        <w:t>5</w:t>
      </w:r>
      <w:r w:rsidR="008D6F5A" w:rsidRPr="00D74D17">
        <w:rPr>
          <w:rFonts w:ascii="Times New Roman" w:hAnsi="Times New Roman"/>
          <w:b/>
          <w:color w:val="auto"/>
          <w:sz w:val="24"/>
        </w:rPr>
        <w:t xml:space="preserve"> от </w:t>
      </w:r>
      <w:r w:rsidR="00B93EBB">
        <w:rPr>
          <w:rFonts w:ascii="Times New Roman" w:hAnsi="Times New Roman"/>
          <w:b/>
          <w:color w:val="auto"/>
          <w:sz w:val="24"/>
        </w:rPr>
        <w:t>30.12.</w:t>
      </w:r>
      <w:bookmarkStart w:id="0" w:name="_GoBack"/>
      <w:bookmarkEnd w:id="0"/>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5010D" w:rsidRPr="00D5010D">
        <w:rPr>
          <w:rFonts w:ascii="Times New Roman" w:hAnsi="Times New Roman"/>
          <w:color w:val="000000" w:themeColor="text1"/>
          <w:sz w:val="24"/>
        </w:rPr>
        <w:t>на</w:t>
      </w:r>
      <w:r w:rsidR="00D5010D">
        <w:rPr>
          <w:rFonts w:ascii="Times New Roman" w:hAnsi="Times New Roman"/>
          <w:color w:val="000000" w:themeColor="text1"/>
          <w:sz w:val="24"/>
        </w:rPr>
        <w:t xml:space="preserve"> </w:t>
      </w:r>
      <w:r w:rsidR="00CD2343" w:rsidRPr="00CD2343">
        <w:rPr>
          <w:rFonts w:ascii="Times New Roman" w:hAnsi="Times New Roman"/>
          <w:color w:val="000000" w:themeColor="text1"/>
          <w:sz w:val="24"/>
        </w:rPr>
        <w:t>выполн</w:t>
      </w:r>
      <w:r w:rsidR="00CD2343">
        <w:rPr>
          <w:rFonts w:ascii="Times New Roman" w:hAnsi="Times New Roman"/>
          <w:color w:val="000000" w:themeColor="text1"/>
          <w:sz w:val="24"/>
        </w:rPr>
        <w:t>ение работ</w:t>
      </w:r>
      <w:r w:rsidR="00CD2343" w:rsidRPr="00CD2343">
        <w:rPr>
          <w:rFonts w:ascii="Times New Roman" w:hAnsi="Times New Roman"/>
          <w:color w:val="000000" w:themeColor="text1"/>
          <w:sz w:val="24"/>
        </w:rPr>
        <w:t xml:space="preserve"> по разработке и обоснованию нормативов технологических потерь нефти и газа</w:t>
      </w:r>
      <w:proofErr w:type="gramEnd"/>
      <w:r w:rsidR="00CD2343" w:rsidRPr="00CD2343">
        <w:rPr>
          <w:rFonts w:ascii="Times New Roman" w:hAnsi="Times New Roman"/>
          <w:color w:val="000000" w:themeColor="text1"/>
          <w:sz w:val="24"/>
        </w:rPr>
        <w:t xml:space="preserve"> </w:t>
      </w:r>
      <w:proofErr w:type="gramStart"/>
      <w:r w:rsidR="00CD2343" w:rsidRPr="00CD2343">
        <w:rPr>
          <w:rFonts w:ascii="Times New Roman" w:hAnsi="Times New Roman"/>
          <w:color w:val="000000" w:themeColor="text1"/>
          <w:sz w:val="24"/>
        </w:rPr>
        <w:t>на</w:t>
      </w:r>
      <w:proofErr w:type="gramEnd"/>
      <w:r w:rsidR="00CD2343" w:rsidRPr="00CD2343">
        <w:rPr>
          <w:rFonts w:ascii="Times New Roman" w:hAnsi="Times New Roman"/>
          <w:color w:val="000000" w:themeColor="text1"/>
          <w:sz w:val="24"/>
        </w:rPr>
        <w:t xml:space="preserve"> 2017 год по лицензионным участкам недр</w:t>
      </w:r>
      <w:r w:rsidR="00CD2343">
        <w:rPr>
          <w:rFonts w:ascii="Times New Roman" w:hAnsi="Times New Roman"/>
          <w:color w:val="000000" w:themeColor="text1"/>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5D6242" w:rsidRDefault="005B0A3B" w:rsidP="005D6242">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5D6242" w:rsidRPr="005D6242">
        <w:rPr>
          <w:rFonts w:ascii="Times New Roman" w:hAnsi="Times New Roman"/>
          <w:sz w:val="23"/>
          <w:szCs w:val="23"/>
        </w:rPr>
        <w:t>на</w:t>
      </w:r>
      <w:r w:rsidR="005D6242">
        <w:rPr>
          <w:rFonts w:ascii="Times New Roman" w:hAnsi="Times New Roman"/>
          <w:sz w:val="23"/>
          <w:szCs w:val="23"/>
        </w:rPr>
        <w:t xml:space="preserve"> </w:t>
      </w:r>
      <w:r w:rsidR="00FE0151" w:rsidRPr="00FE0151">
        <w:rPr>
          <w:rFonts w:ascii="Times New Roman" w:hAnsi="Times New Roman"/>
          <w:sz w:val="23"/>
          <w:szCs w:val="23"/>
        </w:rPr>
        <w:t>выполн</w:t>
      </w:r>
      <w:r w:rsidR="00FE0151">
        <w:rPr>
          <w:rFonts w:ascii="Times New Roman" w:hAnsi="Times New Roman"/>
          <w:sz w:val="23"/>
          <w:szCs w:val="23"/>
        </w:rPr>
        <w:t>ение</w:t>
      </w:r>
      <w:r w:rsidR="00FE0151" w:rsidRPr="00FE0151">
        <w:rPr>
          <w:rFonts w:ascii="Times New Roman" w:hAnsi="Times New Roman"/>
          <w:sz w:val="23"/>
          <w:szCs w:val="23"/>
        </w:rPr>
        <w:t xml:space="preserve"> работ по разработке и обоснованию нормативов технологических потерь нефти и газа на 2017 год по лицензионным участкам недр</w:t>
      </w:r>
      <w:r w:rsidR="00FE0151">
        <w:rPr>
          <w:rFonts w:ascii="Times New Roman" w:hAnsi="Times New Roman"/>
          <w:sz w:val="23"/>
          <w:szCs w:val="23"/>
        </w:rPr>
        <w:t>,</w:t>
      </w:r>
      <w:r w:rsidR="00FE0151" w:rsidRPr="00FE0151">
        <w:rPr>
          <w:rFonts w:ascii="Times New Roman" w:hAnsi="Times New Roman"/>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0B3D2D" w:rsidP="00FE0151">
            <w:pPr>
              <w:pStyle w:val="af"/>
              <w:jc w:val="center"/>
              <w:rPr>
                <w:rFonts w:ascii="Times New Roman" w:hAnsi="Times New Roman"/>
                <w:sz w:val="23"/>
                <w:szCs w:val="23"/>
              </w:rPr>
            </w:pPr>
            <w:r w:rsidRPr="000B3D2D">
              <w:rPr>
                <w:rFonts w:ascii="Times New Roman" w:hAnsi="Times New Roman"/>
                <w:sz w:val="23"/>
                <w:szCs w:val="23"/>
              </w:rPr>
              <w:t xml:space="preserve"> </w:t>
            </w:r>
            <w:r w:rsidR="00FE0151" w:rsidRPr="005B2E90">
              <w:rPr>
                <w:rFonts w:ascii="Times New Roman" w:eastAsia="Times New Roman" w:hAnsi="Times New Roman"/>
                <w:color w:val="000000"/>
                <w:sz w:val="24"/>
                <w:szCs w:val="24"/>
              </w:rPr>
              <w:t>выполн</w:t>
            </w:r>
            <w:r w:rsidR="00FE0151">
              <w:rPr>
                <w:rFonts w:ascii="Times New Roman" w:eastAsia="Times New Roman" w:hAnsi="Times New Roman"/>
                <w:color w:val="000000"/>
                <w:sz w:val="24"/>
                <w:szCs w:val="24"/>
              </w:rPr>
              <w:t>ение</w:t>
            </w:r>
            <w:r w:rsidR="00FE0151" w:rsidRPr="005B2E90">
              <w:rPr>
                <w:rFonts w:ascii="Times New Roman" w:eastAsia="Times New Roman" w:hAnsi="Times New Roman"/>
                <w:color w:val="000000"/>
                <w:sz w:val="24"/>
                <w:szCs w:val="24"/>
              </w:rPr>
              <w:t xml:space="preserve"> работ по разработке и обоснованию нормативов технологических потерь нефти и газа на 20</w:t>
            </w:r>
            <w:r w:rsidR="00FE0151">
              <w:rPr>
                <w:rFonts w:ascii="Times New Roman" w:eastAsia="Times New Roman" w:hAnsi="Times New Roman"/>
                <w:color w:val="000000"/>
                <w:sz w:val="24"/>
                <w:szCs w:val="24"/>
              </w:rPr>
              <w:t xml:space="preserve">17 </w:t>
            </w:r>
            <w:r w:rsidR="00FE0151" w:rsidRPr="005B2E90">
              <w:rPr>
                <w:rFonts w:ascii="Times New Roman" w:eastAsia="Times New Roman" w:hAnsi="Times New Roman"/>
                <w:color w:val="000000"/>
                <w:sz w:val="24"/>
                <w:szCs w:val="24"/>
              </w:rPr>
              <w:t>год по лицензионным участкам недр</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FE0151" w:rsidP="00FE0151">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w:t>
            </w:r>
            <w:r>
              <w:rPr>
                <w:rFonts w:ascii="Times New Roman" w:hAnsi="Times New Roman"/>
                <w:sz w:val="23"/>
                <w:szCs w:val="23"/>
              </w:rPr>
              <w:t>04</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374EE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FE0151" w:rsidRPr="00FE0151" w:rsidRDefault="00FE0151" w:rsidP="00FE0151">
            <w:pPr>
              <w:pStyle w:val="af"/>
              <w:rPr>
                <w:rFonts w:ascii="Times New Roman" w:hAnsi="Times New Roman"/>
                <w:sz w:val="23"/>
                <w:szCs w:val="23"/>
              </w:rPr>
            </w:pPr>
            <w:r w:rsidRPr="00FE0151">
              <w:rPr>
                <w:rFonts w:ascii="Times New Roman" w:hAnsi="Times New Roman"/>
                <w:sz w:val="23"/>
                <w:szCs w:val="23"/>
              </w:rPr>
              <w:t xml:space="preserve">Заказчик обязуется осуществить оплату выполненных Работ поэтапно в течение 90 календарных дней, но не ранее 60 дней </w:t>
            </w:r>
            <w:proofErr w:type="gramStart"/>
            <w:r w:rsidRPr="00FE0151">
              <w:rPr>
                <w:rFonts w:ascii="Times New Roman" w:hAnsi="Times New Roman"/>
                <w:sz w:val="23"/>
                <w:szCs w:val="23"/>
              </w:rPr>
              <w:t>с даты получения</w:t>
            </w:r>
            <w:proofErr w:type="gramEnd"/>
            <w:r w:rsidRPr="00FE0151">
              <w:rPr>
                <w:rFonts w:ascii="Times New Roman" w:hAnsi="Times New Roman"/>
                <w:sz w:val="23"/>
                <w:szCs w:val="23"/>
              </w:rPr>
              <w:t xml:space="preserve"> от Исполнителя оригиналов следующих документов:</w:t>
            </w:r>
          </w:p>
          <w:p w:rsidR="00FE0151" w:rsidRPr="00FE0151" w:rsidRDefault="00FE0151" w:rsidP="00FE0151">
            <w:pPr>
              <w:pStyle w:val="af"/>
              <w:rPr>
                <w:rFonts w:ascii="Times New Roman" w:hAnsi="Times New Roman"/>
                <w:sz w:val="23"/>
                <w:szCs w:val="23"/>
              </w:rPr>
            </w:pPr>
            <w:r w:rsidRPr="00FE0151">
              <w:rPr>
                <w:rFonts w:ascii="Times New Roman" w:hAnsi="Times New Roman"/>
                <w:sz w:val="23"/>
                <w:szCs w:val="23"/>
              </w:rPr>
              <w:t>а) акта сдачи-приемки выполненных работ</w:t>
            </w:r>
          </w:p>
          <w:p w:rsidR="00CB3678" w:rsidRPr="00BD5B3B" w:rsidRDefault="00FE0151" w:rsidP="00FE0151">
            <w:pPr>
              <w:pStyle w:val="af"/>
              <w:rPr>
                <w:rFonts w:ascii="Times New Roman" w:hAnsi="Times New Roman"/>
                <w:sz w:val="23"/>
                <w:szCs w:val="23"/>
              </w:rPr>
            </w:pPr>
            <w:r w:rsidRPr="00FE0151">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424DB9" w:rsidRPr="00BD5B3B" w:rsidTr="00156DB9">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424DB9" w:rsidRDefault="00424DB9" w:rsidP="00156DB9">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424DB9" w:rsidRPr="00BD5B3B" w:rsidRDefault="00424DB9" w:rsidP="00156DB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E959D6" w:rsidRDefault="00E959D6"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454DB2">
        <w:rPr>
          <w:rFonts w:ascii="Times New Roman" w:hAnsi="Times New Roman"/>
          <w:sz w:val="23"/>
          <w:szCs w:val="23"/>
        </w:rPr>
        <w:t>июля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E209A0" w:rsidRPr="004F6EBB" w:rsidRDefault="000F3E29" w:rsidP="004F6EBB">
      <w:pPr>
        <w:spacing w:before="0"/>
        <w:ind w:left="360"/>
        <w:jc w:val="both"/>
        <w:rPr>
          <w:rFonts w:ascii="Times New Roman" w:hAnsi="Times New Roman"/>
          <w:sz w:val="24"/>
        </w:rPr>
      </w:pPr>
      <w:r w:rsidRPr="000F3E29">
        <w:rPr>
          <w:rFonts w:ascii="Times New Roman" w:hAnsi="Times New Roman"/>
          <w:sz w:val="24"/>
        </w:rPr>
        <w:lastRenderedPageBreak/>
        <w:tab/>
      </w:r>
      <w:r w:rsidRPr="000F3E29">
        <w:rPr>
          <w:rFonts w:ascii="Times New Roman" w:hAnsi="Times New Roman"/>
          <w:sz w:val="24"/>
        </w:rPr>
        <w:tab/>
      </w:r>
      <w:r w:rsidRPr="000F3E29">
        <w:rPr>
          <w:rFonts w:ascii="Times New Roman" w:hAnsi="Times New Roman"/>
          <w:sz w:val="24"/>
        </w:rPr>
        <w:tab/>
        <w:t>МП</w:t>
      </w:r>
    </w:p>
    <w:p w:rsidR="005D6242" w:rsidRDefault="005D6242"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FC5688">
        <w:rPr>
          <w:rFonts w:ascii="Times New Roman" w:hAnsi="Times New Roman"/>
          <w:bCs/>
          <w:sz w:val="24"/>
        </w:rPr>
        <w:t xml:space="preserve">№ ПДО: </w:t>
      </w:r>
      <w:r w:rsidR="00FC5688" w:rsidRPr="00FC5688">
        <w:rPr>
          <w:rFonts w:ascii="Times New Roman" w:hAnsi="Times New Roman"/>
          <w:bCs/>
          <w:sz w:val="24"/>
          <w:u w:val="single"/>
          <w:lang w:val="en-US"/>
        </w:rPr>
        <w:t>946</w:t>
      </w:r>
      <w:r w:rsidRPr="00FC5688">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Pr="00847DEC" w:rsidRDefault="00772947" w:rsidP="00772947">
      <w:pPr>
        <w:suppressAutoHyphens/>
        <w:jc w:val="right"/>
        <w:rPr>
          <w:rFonts w:ascii="Times New Roman" w:hAnsi="Times New Roman"/>
          <w:b/>
          <w:sz w:val="24"/>
        </w:rPr>
      </w:pPr>
      <w:r w:rsidRPr="00847DEC">
        <w:rPr>
          <w:rFonts w:ascii="Times New Roman" w:hAnsi="Times New Roman"/>
          <w:b/>
          <w:sz w:val="24"/>
        </w:rPr>
        <w:t>Форма 8 «Калькуляция»</w:t>
      </w: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772947" w:rsidRPr="00847DEC" w:rsidRDefault="00772947" w:rsidP="00772947">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772947" w:rsidRPr="00847DEC" w:rsidRDefault="00772947" w:rsidP="00772947">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772947" w:rsidRPr="00847DEC" w:rsidTr="00A2207E">
        <w:trPr>
          <w:trHeight w:val="545"/>
        </w:trPr>
        <w:tc>
          <w:tcPr>
            <w:tcW w:w="905"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772947" w:rsidRPr="00847DEC" w:rsidRDefault="00772947" w:rsidP="00A2207E">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772947" w:rsidRPr="00AE6A54" w:rsidRDefault="00772947" w:rsidP="00772947">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772947" w:rsidRPr="00AE6A54" w:rsidRDefault="00772947" w:rsidP="00772947">
      <w:pPr>
        <w:ind w:firstLine="709"/>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772947" w:rsidRPr="00847DEC" w:rsidRDefault="00772947" w:rsidP="00772947">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772947" w:rsidRPr="00847DEC" w:rsidRDefault="00772947" w:rsidP="00772947">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772947" w:rsidRPr="00847DEC" w:rsidRDefault="00772947" w:rsidP="00772947">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772947" w:rsidRPr="00847DEC" w:rsidTr="00A2207E">
        <w:tc>
          <w:tcPr>
            <w:tcW w:w="534" w:type="dxa"/>
          </w:tcPr>
          <w:p w:rsidR="00772947" w:rsidRPr="00847DEC" w:rsidRDefault="00772947" w:rsidP="00A2207E">
            <w:pPr>
              <w:rPr>
                <w:rFonts w:ascii="Times New Roman" w:hAnsi="Times New Roman"/>
                <w:b/>
                <w:szCs w:val="20"/>
              </w:rPr>
            </w:pPr>
            <w:r w:rsidRPr="00847DEC">
              <w:rPr>
                <w:rFonts w:ascii="Times New Roman" w:hAnsi="Times New Roman"/>
                <w:b/>
                <w:szCs w:val="20"/>
              </w:rPr>
              <w:t>№№</w:t>
            </w:r>
          </w:p>
        </w:tc>
        <w:tc>
          <w:tcPr>
            <w:tcW w:w="2551" w:type="dxa"/>
          </w:tcPr>
          <w:p w:rsidR="00772947" w:rsidRPr="00847DEC" w:rsidRDefault="00772947" w:rsidP="00A2207E">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772947" w:rsidRPr="00847DEC" w:rsidRDefault="00772947" w:rsidP="00A2207E">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772947" w:rsidRPr="00847DEC" w:rsidRDefault="00772947" w:rsidP="00A2207E">
            <w:pPr>
              <w:rPr>
                <w:rFonts w:ascii="Times New Roman" w:hAnsi="Times New Roman"/>
                <w:b/>
                <w:szCs w:val="20"/>
              </w:rPr>
            </w:pPr>
            <w:r w:rsidRPr="00847DEC">
              <w:rPr>
                <w:rFonts w:ascii="Times New Roman" w:hAnsi="Times New Roman"/>
                <w:b/>
                <w:szCs w:val="20"/>
              </w:rPr>
              <w:t>Кол-во</w:t>
            </w:r>
          </w:p>
        </w:tc>
        <w:tc>
          <w:tcPr>
            <w:tcW w:w="1559" w:type="dxa"/>
          </w:tcPr>
          <w:p w:rsidR="00772947" w:rsidRPr="00847DEC" w:rsidRDefault="00772947" w:rsidP="00A2207E">
            <w:pPr>
              <w:rPr>
                <w:rFonts w:ascii="Times New Roman" w:hAnsi="Times New Roman"/>
                <w:b/>
                <w:szCs w:val="20"/>
              </w:rPr>
            </w:pPr>
            <w:r w:rsidRPr="00847DEC">
              <w:rPr>
                <w:rFonts w:ascii="Times New Roman" w:hAnsi="Times New Roman"/>
                <w:b/>
                <w:szCs w:val="20"/>
              </w:rPr>
              <w:t>Цена без НДС</w:t>
            </w:r>
          </w:p>
        </w:tc>
        <w:tc>
          <w:tcPr>
            <w:tcW w:w="1701" w:type="dxa"/>
          </w:tcPr>
          <w:p w:rsidR="00772947" w:rsidRPr="00847DEC" w:rsidRDefault="00772947" w:rsidP="00A2207E">
            <w:pPr>
              <w:rPr>
                <w:rFonts w:ascii="Times New Roman" w:hAnsi="Times New Roman"/>
                <w:b/>
                <w:szCs w:val="20"/>
              </w:rPr>
            </w:pPr>
            <w:r w:rsidRPr="00847DEC">
              <w:rPr>
                <w:rFonts w:ascii="Times New Roman" w:hAnsi="Times New Roman"/>
                <w:b/>
                <w:szCs w:val="20"/>
              </w:rPr>
              <w:t>Сумма без НДС</w:t>
            </w:r>
          </w:p>
        </w:tc>
        <w:tc>
          <w:tcPr>
            <w:tcW w:w="1418" w:type="dxa"/>
          </w:tcPr>
          <w:p w:rsidR="00772947" w:rsidRPr="00847DEC" w:rsidRDefault="00772947" w:rsidP="00A2207E">
            <w:pPr>
              <w:rPr>
                <w:rFonts w:ascii="Times New Roman" w:hAnsi="Times New Roman"/>
                <w:b/>
                <w:szCs w:val="20"/>
              </w:rPr>
            </w:pPr>
            <w:r w:rsidRPr="00847DEC">
              <w:rPr>
                <w:rFonts w:ascii="Times New Roman" w:hAnsi="Times New Roman"/>
                <w:b/>
                <w:szCs w:val="20"/>
              </w:rPr>
              <w:t>Примечание</w:t>
            </w:r>
          </w:p>
        </w:tc>
      </w:tr>
      <w:tr w:rsidR="00772947" w:rsidRPr="00847DEC" w:rsidTr="00A2207E">
        <w:tc>
          <w:tcPr>
            <w:tcW w:w="534"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772947" w:rsidRPr="00574313" w:rsidRDefault="00772947" w:rsidP="00A2207E">
            <w:pPr>
              <w:jc w:val="center"/>
              <w:rPr>
                <w:rFonts w:ascii="Times New Roman" w:hAnsi="Times New Roman"/>
                <w:b/>
                <w:i/>
                <w:szCs w:val="20"/>
                <w:lang w:val="en-US"/>
              </w:rPr>
            </w:pPr>
            <w:r>
              <w:rPr>
                <w:rFonts w:ascii="Times New Roman" w:hAnsi="Times New Roman"/>
                <w:b/>
                <w:i/>
                <w:szCs w:val="20"/>
                <w:lang w:val="en-US"/>
              </w:rPr>
              <w:t>7</w:t>
            </w: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6</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7</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8</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9</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10</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bl>
    <w:p w:rsidR="00772947" w:rsidRPr="00847DEC" w:rsidRDefault="00772947" w:rsidP="00772947">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772947" w:rsidRPr="00847DEC" w:rsidRDefault="00772947" w:rsidP="00772947">
      <w:pPr>
        <w:spacing w:after="200" w:line="276" w:lineRule="auto"/>
        <w:rPr>
          <w:rFonts w:ascii="Times New Roman" w:hAnsi="Times New Roman"/>
          <w:sz w:val="24"/>
        </w:rPr>
      </w:pPr>
    </w:p>
    <w:p w:rsidR="00772947" w:rsidRPr="00847DEC" w:rsidRDefault="00772947" w:rsidP="00772947">
      <w:pPr>
        <w:spacing w:before="0"/>
        <w:jc w:val="both"/>
        <w:rPr>
          <w:rFonts w:ascii="Times New Roman" w:hAnsi="Times New Roman"/>
          <w:sz w:val="24"/>
        </w:rPr>
      </w:pPr>
    </w:p>
    <w:p w:rsidR="00772947" w:rsidRPr="00AE6A54" w:rsidRDefault="00772947" w:rsidP="00772947">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5"/>
      <w:footerReference w:type="default" r:id="rId1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B1B" w:rsidRDefault="00987B1B">
      <w:pPr>
        <w:spacing w:before="0"/>
      </w:pPr>
      <w:r>
        <w:separator/>
      </w:r>
    </w:p>
  </w:endnote>
  <w:endnote w:type="continuationSeparator" w:id="0">
    <w:p w:rsidR="00987B1B" w:rsidRDefault="00987B1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B93EBB">
          <w:rPr>
            <w:noProof/>
          </w:rPr>
          <w:t>11</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B1B" w:rsidRDefault="00987B1B">
      <w:pPr>
        <w:spacing w:before="0"/>
      </w:pPr>
      <w:r>
        <w:separator/>
      </w:r>
    </w:p>
  </w:footnote>
  <w:footnote w:type="continuationSeparator" w:id="0">
    <w:p w:rsidR="00987B1B" w:rsidRDefault="00987B1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rsidRPr="007D7892">
      <w:t xml:space="preserve">ПДО </w:t>
    </w:r>
    <w:r w:rsidR="007D7892" w:rsidRPr="007D7892">
      <w:rPr>
        <w:lang w:val="en-US"/>
      </w:rPr>
      <w:t>946</w:t>
    </w:r>
    <w:r w:rsidRPr="007D7892">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571E7"/>
    <w:rsid w:val="000617FD"/>
    <w:rsid w:val="00064B61"/>
    <w:rsid w:val="00072229"/>
    <w:rsid w:val="00072D0B"/>
    <w:rsid w:val="000778F9"/>
    <w:rsid w:val="00093DAC"/>
    <w:rsid w:val="00095536"/>
    <w:rsid w:val="000A6477"/>
    <w:rsid w:val="000A76C9"/>
    <w:rsid w:val="000B2601"/>
    <w:rsid w:val="000B3D2D"/>
    <w:rsid w:val="000C09D2"/>
    <w:rsid w:val="000C69C0"/>
    <w:rsid w:val="000D04FA"/>
    <w:rsid w:val="000E1B3B"/>
    <w:rsid w:val="000F1958"/>
    <w:rsid w:val="000F3E29"/>
    <w:rsid w:val="000F6EAA"/>
    <w:rsid w:val="00100181"/>
    <w:rsid w:val="00103857"/>
    <w:rsid w:val="00107110"/>
    <w:rsid w:val="00107F72"/>
    <w:rsid w:val="001104B7"/>
    <w:rsid w:val="00114646"/>
    <w:rsid w:val="00116B1F"/>
    <w:rsid w:val="0011794F"/>
    <w:rsid w:val="00120B02"/>
    <w:rsid w:val="00137A59"/>
    <w:rsid w:val="001436B0"/>
    <w:rsid w:val="00147E25"/>
    <w:rsid w:val="00156901"/>
    <w:rsid w:val="00157EA4"/>
    <w:rsid w:val="00163D7C"/>
    <w:rsid w:val="00164D00"/>
    <w:rsid w:val="0016622E"/>
    <w:rsid w:val="00176FB8"/>
    <w:rsid w:val="00181645"/>
    <w:rsid w:val="00185706"/>
    <w:rsid w:val="001876F4"/>
    <w:rsid w:val="00195D98"/>
    <w:rsid w:val="001A3589"/>
    <w:rsid w:val="001B6D6E"/>
    <w:rsid w:val="001B741D"/>
    <w:rsid w:val="001C62C6"/>
    <w:rsid w:val="001C6CC4"/>
    <w:rsid w:val="001D13CA"/>
    <w:rsid w:val="001D2F0A"/>
    <w:rsid w:val="001D3094"/>
    <w:rsid w:val="001D67CB"/>
    <w:rsid w:val="001D6C46"/>
    <w:rsid w:val="001E13D9"/>
    <w:rsid w:val="001E1B26"/>
    <w:rsid w:val="001E40B5"/>
    <w:rsid w:val="001E4A4D"/>
    <w:rsid w:val="001F341F"/>
    <w:rsid w:val="001F4995"/>
    <w:rsid w:val="00202926"/>
    <w:rsid w:val="00203261"/>
    <w:rsid w:val="002146CE"/>
    <w:rsid w:val="00214DBD"/>
    <w:rsid w:val="0022202A"/>
    <w:rsid w:val="002249B7"/>
    <w:rsid w:val="00224DFC"/>
    <w:rsid w:val="00230F80"/>
    <w:rsid w:val="0023207A"/>
    <w:rsid w:val="0024364E"/>
    <w:rsid w:val="00244B6E"/>
    <w:rsid w:val="00250473"/>
    <w:rsid w:val="002546FA"/>
    <w:rsid w:val="00256993"/>
    <w:rsid w:val="00256B04"/>
    <w:rsid w:val="002618D6"/>
    <w:rsid w:val="002633B5"/>
    <w:rsid w:val="002645AA"/>
    <w:rsid w:val="00277969"/>
    <w:rsid w:val="002779F3"/>
    <w:rsid w:val="002805D1"/>
    <w:rsid w:val="0028349E"/>
    <w:rsid w:val="00284C54"/>
    <w:rsid w:val="00287EE6"/>
    <w:rsid w:val="0029782C"/>
    <w:rsid w:val="002B1364"/>
    <w:rsid w:val="002B38E9"/>
    <w:rsid w:val="002B59C2"/>
    <w:rsid w:val="002C1A55"/>
    <w:rsid w:val="002C46A9"/>
    <w:rsid w:val="002D00B5"/>
    <w:rsid w:val="002D64A9"/>
    <w:rsid w:val="002E394F"/>
    <w:rsid w:val="002E6752"/>
    <w:rsid w:val="002F4522"/>
    <w:rsid w:val="002F529F"/>
    <w:rsid w:val="00303C67"/>
    <w:rsid w:val="0030447D"/>
    <w:rsid w:val="0030705E"/>
    <w:rsid w:val="003108DF"/>
    <w:rsid w:val="00321F78"/>
    <w:rsid w:val="0033013F"/>
    <w:rsid w:val="003336AE"/>
    <w:rsid w:val="00333B75"/>
    <w:rsid w:val="003408B5"/>
    <w:rsid w:val="0034168E"/>
    <w:rsid w:val="003454B5"/>
    <w:rsid w:val="00345A95"/>
    <w:rsid w:val="00354461"/>
    <w:rsid w:val="003602DB"/>
    <w:rsid w:val="0036720F"/>
    <w:rsid w:val="00367C11"/>
    <w:rsid w:val="00372BD8"/>
    <w:rsid w:val="003730DD"/>
    <w:rsid w:val="00374EEE"/>
    <w:rsid w:val="00380227"/>
    <w:rsid w:val="0038123B"/>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0D07"/>
    <w:rsid w:val="00424DB9"/>
    <w:rsid w:val="00433159"/>
    <w:rsid w:val="004341CF"/>
    <w:rsid w:val="004343F6"/>
    <w:rsid w:val="00440386"/>
    <w:rsid w:val="0045472B"/>
    <w:rsid w:val="00454DB2"/>
    <w:rsid w:val="00460D76"/>
    <w:rsid w:val="00471CA9"/>
    <w:rsid w:val="00475586"/>
    <w:rsid w:val="0047618E"/>
    <w:rsid w:val="004902A4"/>
    <w:rsid w:val="00496585"/>
    <w:rsid w:val="00496D80"/>
    <w:rsid w:val="00497F42"/>
    <w:rsid w:val="004A655B"/>
    <w:rsid w:val="004B2980"/>
    <w:rsid w:val="004B70D5"/>
    <w:rsid w:val="004B7A37"/>
    <w:rsid w:val="004C0554"/>
    <w:rsid w:val="004C0D5C"/>
    <w:rsid w:val="004D21C9"/>
    <w:rsid w:val="004D4A54"/>
    <w:rsid w:val="004D5677"/>
    <w:rsid w:val="004E5AD6"/>
    <w:rsid w:val="004F3B43"/>
    <w:rsid w:val="004F546F"/>
    <w:rsid w:val="004F6B25"/>
    <w:rsid w:val="004F6EBB"/>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4DDF"/>
    <w:rsid w:val="0058560A"/>
    <w:rsid w:val="005877E1"/>
    <w:rsid w:val="005900B9"/>
    <w:rsid w:val="00590DBB"/>
    <w:rsid w:val="00591406"/>
    <w:rsid w:val="00595F3A"/>
    <w:rsid w:val="005B0095"/>
    <w:rsid w:val="005B0A3B"/>
    <w:rsid w:val="005B7198"/>
    <w:rsid w:val="005C01A1"/>
    <w:rsid w:val="005C1FB0"/>
    <w:rsid w:val="005C2984"/>
    <w:rsid w:val="005D48F3"/>
    <w:rsid w:val="005D6242"/>
    <w:rsid w:val="005E1956"/>
    <w:rsid w:val="005F69BD"/>
    <w:rsid w:val="005F7876"/>
    <w:rsid w:val="00603EFC"/>
    <w:rsid w:val="00605FBC"/>
    <w:rsid w:val="006150ED"/>
    <w:rsid w:val="006202E7"/>
    <w:rsid w:val="0062530A"/>
    <w:rsid w:val="00634093"/>
    <w:rsid w:val="00635873"/>
    <w:rsid w:val="00636DD5"/>
    <w:rsid w:val="00637924"/>
    <w:rsid w:val="00642781"/>
    <w:rsid w:val="00643A99"/>
    <w:rsid w:val="00651168"/>
    <w:rsid w:val="006512CC"/>
    <w:rsid w:val="00653A50"/>
    <w:rsid w:val="00655BBD"/>
    <w:rsid w:val="00663147"/>
    <w:rsid w:val="00677D41"/>
    <w:rsid w:val="00692B1B"/>
    <w:rsid w:val="0069330C"/>
    <w:rsid w:val="00693E8F"/>
    <w:rsid w:val="00694527"/>
    <w:rsid w:val="00694B74"/>
    <w:rsid w:val="00696A23"/>
    <w:rsid w:val="006A2E8C"/>
    <w:rsid w:val="006A3CA1"/>
    <w:rsid w:val="006B0867"/>
    <w:rsid w:val="006C1035"/>
    <w:rsid w:val="006C5B28"/>
    <w:rsid w:val="006F47E3"/>
    <w:rsid w:val="007049F9"/>
    <w:rsid w:val="00706ACC"/>
    <w:rsid w:val="007144D1"/>
    <w:rsid w:val="00716222"/>
    <w:rsid w:val="00721F40"/>
    <w:rsid w:val="00736D94"/>
    <w:rsid w:val="00737238"/>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72947"/>
    <w:rsid w:val="00780DE9"/>
    <w:rsid w:val="007838E3"/>
    <w:rsid w:val="0078638C"/>
    <w:rsid w:val="00787CA3"/>
    <w:rsid w:val="00791CFD"/>
    <w:rsid w:val="007925E9"/>
    <w:rsid w:val="007A135E"/>
    <w:rsid w:val="007A5ECD"/>
    <w:rsid w:val="007A6784"/>
    <w:rsid w:val="007A6E57"/>
    <w:rsid w:val="007B49A9"/>
    <w:rsid w:val="007B61E9"/>
    <w:rsid w:val="007D3874"/>
    <w:rsid w:val="007D51E3"/>
    <w:rsid w:val="007D7892"/>
    <w:rsid w:val="007D7A03"/>
    <w:rsid w:val="007E0156"/>
    <w:rsid w:val="007E1888"/>
    <w:rsid w:val="007E24D8"/>
    <w:rsid w:val="007E3F41"/>
    <w:rsid w:val="007E4C24"/>
    <w:rsid w:val="007E69C0"/>
    <w:rsid w:val="007F1934"/>
    <w:rsid w:val="007F3DBE"/>
    <w:rsid w:val="007F6427"/>
    <w:rsid w:val="007F74A6"/>
    <w:rsid w:val="007F7C1A"/>
    <w:rsid w:val="00803783"/>
    <w:rsid w:val="008071E2"/>
    <w:rsid w:val="00814EA7"/>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28BE"/>
    <w:rsid w:val="00894C5E"/>
    <w:rsid w:val="008A1AF9"/>
    <w:rsid w:val="008A1EDD"/>
    <w:rsid w:val="008B0255"/>
    <w:rsid w:val="008B0ABA"/>
    <w:rsid w:val="008B4DB4"/>
    <w:rsid w:val="008B5511"/>
    <w:rsid w:val="008B5C3E"/>
    <w:rsid w:val="008C5C1F"/>
    <w:rsid w:val="008D2551"/>
    <w:rsid w:val="008D4F06"/>
    <w:rsid w:val="008D5E0A"/>
    <w:rsid w:val="008D6F5A"/>
    <w:rsid w:val="008D71B1"/>
    <w:rsid w:val="008E3006"/>
    <w:rsid w:val="008E6DD7"/>
    <w:rsid w:val="008E7A43"/>
    <w:rsid w:val="008F2B4A"/>
    <w:rsid w:val="008F2E0E"/>
    <w:rsid w:val="009136EB"/>
    <w:rsid w:val="009258E2"/>
    <w:rsid w:val="00927DBF"/>
    <w:rsid w:val="00931C52"/>
    <w:rsid w:val="00932E5D"/>
    <w:rsid w:val="00937663"/>
    <w:rsid w:val="00942AC3"/>
    <w:rsid w:val="00943FE9"/>
    <w:rsid w:val="009446F1"/>
    <w:rsid w:val="00944FB8"/>
    <w:rsid w:val="00945D85"/>
    <w:rsid w:val="00954E79"/>
    <w:rsid w:val="00957997"/>
    <w:rsid w:val="0096095C"/>
    <w:rsid w:val="00963D7F"/>
    <w:rsid w:val="00970274"/>
    <w:rsid w:val="00981FD5"/>
    <w:rsid w:val="009821F1"/>
    <w:rsid w:val="00987B1B"/>
    <w:rsid w:val="00996348"/>
    <w:rsid w:val="00996D20"/>
    <w:rsid w:val="009973DA"/>
    <w:rsid w:val="009A0874"/>
    <w:rsid w:val="009A0C8A"/>
    <w:rsid w:val="009A35A4"/>
    <w:rsid w:val="009A3A78"/>
    <w:rsid w:val="009B7918"/>
    <w:rsid w:val="009C792D"/>
    <w:rsid w:val="009D0283"/>
    <w:rsid w:val="009D3A19"/>
    <w:rsid w:val="009E4D6B"/>
    <w:rsid w:val="009F2927"/>
    <w:rsid w:val="009F334F"/>
    <w:rsid w:val="00A01A5B"/>
    <w:rsid w:val="00A02163"/>
    <w:rsid w:val="00A03573"/>
    <w:rsid w:val="00A16425"/>
    <w:rsid w:val="00A22F2E"/>
    <w:rsid w:val="00A23E20"/>
    <w:rsid w:val="00A2414F"/>
    <w:rsid w:val="00A24E22"/>
    <w:rsid w:val="00A43B77"/>
    <w:rsid w:val="00A44017"/>
    <w:rsid w:val="00A550A9"/>
    <w:rsid w:val="00A607D0"/>
    <w:rsid w:val="00A62A92"/>
    <w:rsid w:val="00A64528"/>
    <w:rsid w:val="00A75852"/>
    <w:rsid w:val="00A82139"/>
    <w:rsid w:val="00A8307D"/>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2BAD"/>
    <w:rsid w:val="00B06F76"/>
    <w:rsid w:val="00B10BB2"/>
    <w:rsid w:val="00B21C57"/>
    <w:rsid w:val="00B265C4"/>
    <w:rsid w:val="00B27A5C"/>
    <w:rsid w:val="00B31C56"/>
    <w:rsid w:val="00B419EF"/>
    <w:rsid w:val="00B47155"/>
    <w:rsid w:val="00B47709"/>
    <w:rsid w:val="00B50329"/>
    <w:rsid w:val="00B521B2"/>
    <w:rsid w:val="00B530C5"/>
    <w:rsid w:val="00B54342"/>
    <w:rsid w:val="00B57D8B"/>
    <w:rsid w:val="00B64CBC"/>
    <w:rsid w:val="00B6789B"/>
    <w:rsid w:val="00B82751"/>
    <w:rsid w:val="00B86D81"/>
    <w:rsid w:val="00B93EBB"/>
    <w:rsid w:val="00B94475"/>
    <w:rsid w:val="00BA5180"/>
    <w:rsid w:val="00BB2FDA"/>
    <w:rsid w:val="00BC44E4"/>
    <w:rsid w:val="00BC50B9"/>
    <w:rsid w:val="00BD024F"/>
    <w:rsid w:val="00BD249E"/>
    <w:rsid w:val="00BD2A5A"/>
    <w:rsid w:val="00BD40B8"/>
    <w:rsid w:val="00BD5B3B"/>
    <w:rsid w:val="00BE53AE"/>
    <w:rsid w:val="00BE7561"/>
    <w:rsid w:val="00C01AB5"/>
    <w:rsid w:val="00C10757"/>
    <w:rsid w:val="00C10BEF"/>
    <w:rsid w:val="00C116B8"/>
    <w:rsid w:val="00C17C09"/>
    <w:rsid w:val="00C24ACB"/>
    <w:rsid w:val="00C3199D"/>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4E86"/>
    <w:rsid w:val="00C86A12"/>
    <w:rsid w:val="00C874CC"/>
    <w:rsid w:val="00CA057C"/>
    <w:rsid w:val="00CA0D5D"/>
    <w:rsid w:val="00CA10C5"/>
    <w:rsid w:val="00CA39D6"/>
    <w:rsid w:val="00CA7CFF"/>
    <w:rsid w:val="00CB3678"/>
    <w:rsid w:val="00CB3C04"/>
    <w:rsid w:val="00CB7AD1"/>
    <w:rsid w:val="00CC603D"/>
    <w:rsid w:val="00CD2343"/>
    <w:rsid w:val="00CD62A3"/>
    <w:rsid w:val="00CE0D94"/>
    <w:rsid w:val="00CE14C3"/>
    <w:rsid w:val="00CE2E4F"/>
    <w:rsid w:val="00CE38F5"/>
    <w:rsid w:val="00CE3A32"/>
    <w:rsid w:val="00CE5E1C"/>
    <w:rsid w:val="00D12CD3"/>
    <w:rsid w:val="00D13256"/>
    <w:rsid w:val="00D15D06"/>
    <w:rsid w:val="00D23452"/>
    <w:rsid w:val="00D272C8"/>
    <w:rsid w:val="00D45237"/>
    <w:rsid w:val="00D5010D"/>
    <w:rsid w:val="00D5048D"/>
    <w:rsid w:val="00D510C3"/>
    <w:rsid w:val="00D513DB"/>
    <w:rsid w:val="00D54E6C"/>
    <w:rsid w:val="00D55663"/>
    <w:rsid w:val="00D55AFF"/>
    <w:rsid w:val="00D57732"/>
    <w:rsid w:val="00D655FD"/>
    <w:rsid w:val="00D74D17"/>
    <w:rsid w:val="00D761C1"/>
    <w:rsid w:val="00D81B45"/>
    <w:rsid w:val="00D91A47"/>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209A0"/>
    <w:rsid w:val="00E3118B"/>
    <w:rsid w:val="00E34C0A"/>
    <w:rsid w:val="00E4090D"/>
    <w:rsid w:val="00E447B5"/>
    <w:rsid w:val="00E44FE7"/>
    <w:rsid w:val="00E55C07"/>
    <w:rsid w:val="00E56069"/>
    <w:rsid w:val="00E63543"/>
    <w:rsid w:val="00E67F61"/>
    <w:rsid w:val="00E959D6"/>
    <w:rsid w:val="00E95E62"/>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3857"/>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37E5"/>
    <w:rsid w:val="00F631C1"/>
    <w:rsid w:val="00F90EED"/>
    <w:rsid w:val="00F97294"/>
    <w:rsid w:val="00FA01FC"/>
    <w:rsid w:val="00FA0E0C"/>
    <w:rsid w:val="00FA3B42"/>
    <w:rsid w:val="00FA3E46"/>
    <w:rsid w:val="00FA4751"/>
    <w:rsid w:val="00FA4CFC"/>
    <w:rsid w:val="00FB3B93"/>
    <w:rsid w:val="00FB4C3C"/>
    <w:rsid w:val="00FC5688"/>
    <w:rsid w:val="00FC687E"/>
    <w:rsid w:val="00FD1D2E"/>
    <w:rsid w:val="00FE0151"/>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ohinVA@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EliseevaOV@mng.slavneft.ru" TargetMode="External"/><Relationship Id="rId4" Type="http://schemas.microsoft.com/office/2007/relationships/stylesWithEffects" Target="stylesWithEffects.xml"/><Relationship Id="rId9" Type="http://schemas.openxmlformats.org/officeDocument/2006/relationships/hyperlink" Target="mailto:HasanovAM@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C6BAC-291A-4EE8-A301-8551DC6B6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3260</Words>
  <Characters>18582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6</cp:revision>
  <cp:lastPrinted>2015-09-29T09:08:00Z</cp:lastPrinted>
  <dcterms:created xsi:type="dcterms:W3CDTF">2015-12-15T03:59:00Z</dcterms:created>
  <dcterms:modified xsi:type="dcterms:W3CDTF">2015-12-30T06:15:00Z</dcterms:modified>
</cp:coreProperties>
</file>