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3F0" w:rsidRDefault="00396FEE" w:rsidP="00B353F0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</w:t>
      </w:r>
      <w:r w:rsidR="00B353F0">
        <w:rPr>
          <w:rFonts w:ascii="Times New Roman" w:hAnsi="Times New Roman"/>
          <w:sz w:val="24"/>
          <w:highlight w:val="lightGray"/>
        </w:rPr>
        <w:t>7</w:t>
      </w:r>
    </w:p>
    <w:p w:rsidR="002D4508" w:rsidRPr="00B353F0" w:rsidRDefault="00B353F0" w:rsidP="00B353F0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bookmarkStart w:id="0" w:name="_GoBack"/>
      <w:bookmarkEnd w:id="0"/>
      <w:r>
        <w:rPr>
          <w:rFonts w:ascii="Times New Roman" w:hAnsi="Times New Roman"/>
          <w:sz w:val="24"/>
          <w:highlight w:val="lightGray"/>
        </w:rPr>
        <w:t xml:space="preserve"> </w:t>
      </w:r>
      <w:r w:rsidR="002D4508"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="002D4508" w:rsidRPr="00D85D6E">
        <w:rPr>
          <w:rFonts w:ascii="Times New Roman" w:hAnsi="Times New Roman"/>
          <w:sz w:val="24"/>
          <w:highlight w:val="lightGray"/>
        </w:rPr>
        <w:t>от  «___»_______ 20_____ г.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Акт приема </w:t>
      </w:r>
      <w:r w:rsidRPr="00D76530">
        <w:rPr>
          <w:rFonts w:ascii="Times New Roman" w:hAnsi="Times New Roman"/>
          <w:sz w:val="24"/>
          <w:highlight w:val="lightGray"/>
        </w:rPr>
        <w:t xml:space="preserve">– </w:t>
      </w:r>
      <w:r w:rsidRPr="00D76530">
        <w:rPr>
          <w:rFonts w:ascii="Times New Roman" w:hAnsi="Times New Roman"/>
          <w:b/>
          <w:sz w:val="24"/>
          <w:highlight w:val="lightGray"/>
        </w:rPr>
        <w:t>передачи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Локальных нормативных актов Заказчика 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D76530" w:rsidRPr="00D76530" w:rsidTr="005D7908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>Наименование</w:t>
            </w:r>
            <w:proofErr w:type="spellEnd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  <w:proofErr w:type="spellEnd"/>
          </w:p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кол-во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 xml:space="preserve"> 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листов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)</w:t>
            </w:r>
          </w:p>
        </w:tc>
      </w:tr>
      <w:tr w:rsidR="00D76530" w:rsidRPr="00D76530" w:rsidTr="005D7908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B353F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</w:t>
            </w:r>
            <w:r w:rsidR="00B353F0">
              <w:rPr>
                <w:rFonts w:ascii="Times New Roman" w:hAnsi="Times New Roman"/>
                <w:sz w:val="20"/>
                <w:szCs w:val="20"/>
                <w:highlight w:val="lightGray"/>
              </w:rPr>
              <w:t>5</w:t>
            </w: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B353F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«Транспортная безопасность в открытом акционерном обществе «Славнефть-Мегионнефтегаз» СТБ 034-201</w:t>
            </w:r>
            <w:r w:rsidR="00B353F0">
              <w:rPr>
                <w:rFonts w:ascii="Times New Roman" w:hAnsi="Times New Roman"/>
                <w:sz w:val="20"/>
                <w:szCs w:val="20"/>
                <w:highlight w:val="lightGray"/>
              </w:rPr>
              <w:t>5</w:t>
            </w: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D35D8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18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3B16CD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 w:rsidRPr="00D35D82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3B16CD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35D82" w:rsidRDefault="003B16CD" w:rsidP="007D4AD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Изменение 1 к </w:t>
            </w: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 Процедуре «Контроль употребления алкоголя, наркотических и токсических веществ</w:t>
            </w:r>
            <w:r w:rsidRPr="00D35D82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16CD" w:rsidRPr="00D35D82" w:rsidRDefault="003B16CD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9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План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10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35D82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5D82" w:rsidRDefault="00D35D82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5D82" w:rsidRPr="00D76530" w:rsidRDefault="00D35D82" w:rsidP="00D76530">
            <w:pPr>
              <w:widowControl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</w:pPr>
            <w:r w:rsidRPr="0073056A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Регламент по регулированию движения необорудованных БСМТС и ремнями безопасности транспортных средств  по территории месторождений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5D82" w:rsidRPr="00D76530" w:rsidRDefault="00D35D82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9</w:t>
            </w:r>
          </w:p>
        </w:tc>
      </w:tr>
      <w:tr w:rsidR="00875DDC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Default="00875DDC" w:rsidP="00875D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Pr="00AE377A" w:rsidRDefault="00875DDC" w:rsidP="00875DDC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Стандарт организации «Основные нормативные требования к оформлению объектов подготовки, перекачки нефти и газа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5DDC" w:rsidRPr="00AE377A" w:rsidRDefault="00875DDC" w:rsidP="00875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AE377A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89</w:t>
            </w:r>
          </w:p>
        </w:tc>
      </w:tr>
      <w:tr w:rsidR="00875DDC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Default="00875DDC" w:rsidP="00875D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Pr="00AE377A" w:rsidRDefault="00875DDC" w:rsidP="00875DDC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Положение о </w:t>
            </w:r>
            <w:proofErr w:type="gramStart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пропускном</w:t>
            </w:r>
            <w:proofErr w:type="gramEnd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 и </w:t>
            </w:r>
            <w:proofErr w:type="spellStart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внутриобъектовом</w:t>
            </w:r>
            <w:proofErr w:type="spellEnd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 режимах на объектах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5DDC" w:rsidRPr="00AE377A" w:rsidRDefault="00875DDC" w:rsidP="00875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AE377A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35</w:t>
            </w:r>
          </w:p>
        </w:tc>
      </w:tr>
      <w:tr w:rsidR="00875DDC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Default="00875DDC" w:rsidP="00875D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Pr="00386A04" w:rsidRDefault="00875DDC" w:rsidP="00875DDC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386A04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Инструкция по обращению с отходами производства и потребления в открытом акционерном обществе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5DDC" w:rsidRPr="00386A04" w:rsidRDefault="00875DDC" w:rsidP="00875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386A04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30</w:t>
            </w:r>
          </w:p>
        </w:tc>
      </w:tr>
    </w:tbl>
    <w:p w:rsidR="00D76530" w:rsidRPr="00D76530" w:rsidRDefault="00D76530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D76530">
        <w:rPr>
          <w:rFonts w:ascii="Times New Roman" w:hAnsi="Times New Roman"/>
          <w:b/>
          <w:color w:val="000000"/>
          <w:sz w:val="24"/>
          <w:highlight w:val="lightGray"/>
        </w:rPr>
        <w:t>*</w:t>
      </w:r>
      <w:r w:rsidRPr="00D76530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Подписи Сторон</w:t>
      </w: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sz w:val="24"/>
          <w:highlight w:val="lightGray"/>
        </w:rPr>
        <w:t xml:space="preserve">Заказчик:                                                               Подрядчик:          </w:t>
      </w: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D4508" w:rsidRPr="00A23A5D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D85D6E" w:rsidRDefault="002D4508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A23A5D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B62185" w:rsidRDefault="00B62185"/>
    <w:sectPr w:rsidR="00B6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125A22"/>
    <w:rsid w:val="001F2464"/>
    <w:rsid w:val="002D4508"/>
    <w:rsid w:val="003403F0"/>
    <w:rsid w:val="00396FEE"/>
    <w:rsid w:val="003B16CD"/>
    <w:rsid w:val="007D4AD2"/>
    <w:rsid w:val="00875DDC"/>
    <w:rsid w:val="009471A4"/>
    <w:rsid w:val="00B353F0"/>
    <w:rsid w:val="00B62185"/>
    <w:rsid w:val="00B721B6"/>
    <w:rsid w:val="00BE57AB"/>
    <w:rsid w:val="00D35D82"/>
    <w:rsid w:val="00D7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2</cp:revision>
  <dcterms:created xsi:type="dcterms:W3CDTF">2016-01-11T05:53:00Z</dcterms:created>
  <dcterms:modified xsi:type="dcterms:W3CDTF">2016-01-11T05:53:00Z</dcterms:modified>
</cp:coreProperties>
</file>