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 xml:space="preserve">Форма-6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w:t>
      </w:r>
      <w:proofErr w:type="spellStart"/>
      <w:r w:rsidRPr="00CA57BB">
        <w:rPr>
          <w:rFonts w:ascii="Times New Roman" w:eastAsia="Times New Roman" w:hAnsi="Times New Roman" w:cs="Times New Roman"/>
          <w:b/>
          <w:sz w:val="28"/>
          <w:szCs w:val="28"/>
          <w:lang w:eastAsia="ru-RU"/>
        </w:rPr>
        <w:t>Славнефть</w:t>
      </w:r>
      <w:proofErr w:type="spellEnd"/>
      <w:r w:rsidRPr="00CA57BB">
        <w:rPr>
          <w:rFonts w:ascii="Times New Roman" w:eastAsia="Times New Roman" w:hAnsi="Times New Roman" w:cs="Times New Roman"/>
          <w:b/>
          <w:sz w:val="28"/>
          <w:szCs w:val="28"/>
          <w:lang w:eastAsia="ru-RU"/>
        </w:rPr>
        <w:t>-Мегионнефтегаз»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CA57BB" w:rsidP="00CA57BB">
      <w:pPr>
        <w:widowControl w:val="0"/>
        <w:autoSpaceDE w:val="0"/>
        <w:autoSpaceDN w:val="0"/>
        <w:adjustRightInd w:val="0"/>
        <w:spacing w:after="0"/>
        <w:ind w:left="696"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__________________________________________________________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201___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«_____»______________20__г.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w:t>
      </w:r>
      <w:proofErr w:type="spellStart"/>
      <w:r w:rsidRPr="00CA57BB">
        <w:rPr>
          <w:rFonts w:ascii="Times New Roman" w:eastAsia="Times New Roman" w:hAnsi="Times New Roman" w:cs="Times New Roman"/>
          <w:b/>
          <w:sz w:val="24"/>
          <w:szCs w:val="24"/>
          <w:lang w:eastAsia="zh-CN"/>
        </w:rPr>
        <w:t>Славнефть</w:t>
      </w:r>
      <w:proofErr w:type="spellEnd"/>
      <w:r w:rsidRPr="00CA57BB">
        <w:rPr>
          <w:rFonts w:ascii="Times New Roman" w:eastAsia="Times New Roman" w:hAnsi="Times New Roman" w:cs="Times New Roman"/>
          <w:b/>
          <w:sz w:val="24"/>
          <w:szCs w:val="24"/>
          <w:lang w:eastAsia="zh-CN"/>
        </w:rPr>
        <w:t>-Мегионнефтегаз»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основании </w:t>
      </w:r>
      <w:r w:rsidRPr="00CA57BB">
        <w:rPr>
          <w:rFonts w:ascii="Times New Roman" w:eastAsia="Times New Roman" w:hAnsi="Times New Roman" w:cs="Times New Roman"/>
          <w:b/>
          <w:spacing w:val="-1"/>
          <w:szCs w:val="24"/>
          <w:lang w:eastAsia="ru-RU"/>
        </w:rPr>
        <w:t>Доверенности № 650 от 25.10.2013г.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Pr="00CA57BB">
        <w:rPr>
          <w:rFonts w:ascii="Times New Roman" w:eastAsia="Times New Roman" w:hAnsi="Times New Roman" w:cs="Times New Roman"/>
          <w:bCs/>
          <w:sz w:val="24"/>
          <w:szCs w:val="24"/>
          <w:shd w:val="clear" w:color="auto" w:fill="C0C0C0"/>
          <w:lang w:eastAsia="zh-CN"/>
        </w:rPr>
        <w:t>______________________________________________________________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Pr="00CA57BB">
        <w:rPr>
          <w:rFonts w:ascii="Times New Roman" w:eastAsia="Times New Roman" w:hAnsi="Times New Roman" w:cs="Times New Roman"/>
          <w:szCs w:val="24"/>
          <w:shd w:val="clear" w:color="auto" w:fill="C0C0C0"/>
          <w:lang w:eastAsia="zh-CN"/>
        </w:rPr>
        <w:t>________________________________________________________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CA57BB"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CA57BB" w:rsidRDefault="00CA57BB" w:rsidP="00CA57BB">
      <w:pPr>
        <w:suppressAutoHyphens/>
        <w:spacing w:after="0"/>
        <w:ind w:right="-2"/>
        <w:jc w:val="both"/>
        <w:rPr>
          <w:rFonts w:ascii="Arial" w:eastAsia="Times New Roman" w:hAnsi="Arial" w:cs="Times New Roman"/>
          <w:szCs w:val="20"/>
          <w:lang w:eastAsia="ar-SA"/>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«Объект»</w:t>
      </w:r>
      <w:r w:rsidR="002C6E69">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______________________________________________________________.</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«Стройка» - </w:t>
      </w:r>
      <w:r w:rsidRPr="00CA57BB">
        <w:rPr>
          <w:rFonts w:ascii="Times New Roman" w:eastAsia="Times New Roman" w:hAnsi="Times New Roman" w:cs="Times New Roman"/>
          <w:sz w:val="24"/>
          <w:szCs w:val="24"/>
          <w:lang w:eastAsia="ru-RU"/>
        </w:rPr>
        <w:t>______________________________________________________________.</w:t>
      </w:r>
    </w:p>
    <w:p w:rsidR="00CA57BB" w:rsidRPr="00CA57BB" w:rsidRDefault="00CA57BB" w:rsidP="00CA57BB">
      <w:pPr>
        <w:widowControl w:val="0"/>
        <w:tabs>
          <w:tab w:val="left" w:pos="709"/>
        </w:tabs>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w:t>
      </w:r>
      <w:r w:rsidRPr="00CA57BB">
        <w:rPr>
          <w:rFonts w:ascii="Times New Roman" w:eastAsia="Times New Roman" w:hAnsi="Times New Roman" w:cs="Times New Roman"/>
          <w:sz w:val="24"/>
          <w:szCs w:val="24"/>
          <w:lang w:eastAsia="ru-RU"/>
        </w:rPr>
        <w:lastRenderedPageBreak/>
        <w:t xml:space="preserve">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lastRenderedPageBreak/>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w:t>
      </w:r>
      <w:r w:rsidRPr="00CA57BB">
        <w:rPr>
          <w:rFonts w:ascii="Times New Roman" w:eastAsia="Times New Roman" w:hAnsi="Times New Roman" w:cs="Times New Roman"/>
          <w:sz w:val="24"/>
          <w:szCs w:val="24"/>
          <w:lang w:eastAsia="ru-RU"/>
        </w:rPr>
        <w:lastRenderedPageBreak/>
        <w:t>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0" w:name="i1612357"/>
      <w:r w:rsidRPr="00CA57BB">
        <w:rPr>
          <w:rFonts w:ascii="Times New Roman" w:eastAsia="Times New Roman" w:hAnsi="Times New Roman" w:cs="Times New Roman"/>
          <w:sz w:val="24"/>
          <w:szCs w:val="24"/>
          <w:lang w:eastAsia="ru-RU"/>
        </w:rPr>
        <w:t>л</w:t>
      </w:r>
      <w:bookmarkEnd w:id="0"/>
      <w:r w:rsidRPr="00CA57BB">
        <w:rPr>
          <w:rFonts w:ascii="Times New Roman" w:eastAsia="Times New Roman" w:hAnsi="Times New Roman" w:cs="Times New Roman"/>
          <w:sz w:val="24"/>
          <w:szCs w:val="24"/>
          <w:lang w:eastAsia="ru-RU"/>
        </w:rPr>
        <w:t>ьному испытани</w:t>
      </w:r>
      <w:bookmarkStart w:id="1" w:name="i1625114"/>
      <w:r w:rsidRPr="00CA57BB">
        <w:rPr>
          <w:rFonts w:ascii="Times New Roman" w:eastAsia="Times New Roman" w:hAnsi="Times New Roman" w:cs="Times New Roman"/>
          <w:sz w:val="24"/>
          <w:szCs w:val="24"/>
          <w:lang w:eastAsia="ru-RU"/>
        </w:rPr>
        <w:t xml:space="preserve">ю </w:t>
      </w:r>
      <w:bookmarkEnd w:id="1"/>
      <w:r w:rsidRPr="00CA57BB">
        <w:rPr>
          <w:rFonts w:ascii="Times New Roman" w:eastAsia="Times New Roman" w:hAnsi="Times New Roman" w:cs="Times New Roman"/>
          <w:sz w:val="24"/>
          <w:szCs w:val="24"/>
          <w:lang w:eastAsia="ru-RU"/>
        </w:rPr>
        <w:t>и комп</w:t>
      </w:r>
      <w:bookmarkStart w:id="2" w:name="i1633470"/>
      <w:r w:rsidRPr="00CA57BB">
        <w:rPr>
          <w:rFonts w:ascii="Times New Roman" w:eastAsia="Times New Roman" w:hAnsi="Times New Roman" w:cs="Times New Roman"/>
          <w:sz w:val="24"/>
          <w:szCs w:val="24"/>
          <w:lang w:eastAsia="ru-RU"/>
        </w:rPr>
        <w:t>л</w:t>
      </w:r>
      <w:bookmarkEnd w:id="2"/>
      <w:r w:rsidRPr="00CA57BB">
        <w:rPr>
          <w:rFonts w:ascii="Times New Roman" w:eastAsia="Times New Roman" w:hAnsi="Times New Roman" w:cs="Times New Roman"/>
          <w:sz w:val="24"/>
          <w:szCs w:val="24"/>
          <w:lang w:eastAsia="ru-RU"/>
        </w:rPr>
        <w:t>ексному опробованию агрега</w:t>
      </w:r>
      <w:bookmarkStart w:id="3" w:name="i1646181"/>
      <w:r w:rsidRPr="00CA57BB">
        <w:rPr>
          <w:rFonts w:ascii="Times New Roman" w:eastAsia="Times New Roman" w:hAnsi="Times New Roman" w:cs="Times New Roman"/>
          <w:sz w:val="24"/>
          <w:szCs w:val="24"/>
          <w:lang w:eastAsia="ru-RU"/>
        </w:rPr>
        <w:t>т</w:t>
      </w:r>
      <w:bookmarkEnd w:id="3"/>
      <w:r w:rsidRPr="00CA57BB">
        <w:rPr>
          <w:rFonts w:ascii="Times New Roman" w:eastAsia="Times New Roman" w:hAnsi="Times New Roman" w:cs="Times New Roman"/>
          <w:sz w:val="24"/>
          <w:szCs w:val="24"/>
          <w:lang w:eastAsia="ru-RU"/>
        </w:rPr>
        <w:t>ов, м</w:t>
      </w:r>
      <w:bookmarkStart w:id="4" w:name="i1651070"/>
      <w:r w:rsidRPr="00CA57BB">
        <w:rPr>
          <w:rFonts w:ascii="Times New Roman" w:eastAsia="Times New Roman" w:hAnsi="Times New Roman" w:cs="Times New Roman"/>
          <w:sz w:val="24"/>
          <w:szCs w:val="24"/>
          <w:lang w:eastAsia="ru-RU"/>
        </w:rPr>
        <w:t>е</w:t>
      </w:r>
      <w:bookmarkEnd w:id="4"/>
      <w:r w:rsidRPr="00CA57BB">
        <w:rPr>
          <w:rFonts w:ascii="Times New Roman" w:eastAsia="Times New Roman" w:hAnsi="Times New Roman" w:cs="Times New Roman"/>
          <w:sz w:val="24"/>
          <w:szCs w:val="24"/>
          <w:lang w:eastAsia="ru-RU"/>
        </w:rPr>
        <w:t>ханизмо</w:t>
      </w:r>
      <w:bookmarkStart w:id="5" w:name="i1665612"/>
      <w:r w:rsidRPr="00CA57BB">
        <w:rPr>
          <w:rFonts w:ascii="Times New Roman" w:eastAsia="Times New Roman" w:hAnsi="Times New Roman" w:cs="Times New Roman"/>
          <w:sz w:val="24"/>
          <w:szCs w:val="24"/>
          <w:lang w:eastAsia="ru-RU"/>
        </w:rPr>
        <w:t>в</w:t>
      </w:r>
      <w:bookmarkEnd w:id="5"/>
      <w:r w:rsidRPr="00CA57BB">
        <w:rPr>
          <w:rFonts w:ascii="Times New Roman" w:eastAsia="Times New Roman" w:hAnsi="Times New Roman" w:cs="Times New Roman"/>
          <w:sz w:val="24"/>
          <w:szCs w:val="24"/>
          <w:lang w:eastAsia="ru-RU"/>
        </w:rPr>
        <w:t xml:space="preserve"> и устрой</w:t>
      </w:r>
      <w:bookmarkStart w:id="6" w:name="i1672803"/>
      <w:r w:rsidRPr="00CA57BB">
        <w:rPr>
          <w:rFonts w:ascii="Times New Roman" w:eastAsia="Times New Roman" w:hAnsi="Times New Roman" w:cs="Times New Roman"/>
          <w:sz w:val="24"/>
          <w:szCs w:val="24"/>
          <w:lang w:eastAsia="ru-RU"/>
        </w:rPr>
        <w:t>с</w:t>
      </w:r>
      <w:bookmarkEnd w:id="6"/>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____________________________________________.</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 xml:space="preserve">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договорной цены» (Приложение №__3_).   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lastRenderedPageBreak/>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№_4__), «Расчете договорной цены» (Приложение №_3__) и оформляется 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№_9_)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w:t>
      </w:r>
      <w:r w:rsidRPr="00CA57BB">
        <w:rPr>
          <w:rFonts w:ascii="Times New Roman" w:eastAsia="Times New Roman" w:hAnsi="Times New Roman" w:cs="Times New Roman"/>
          <w:sz w:val="24"/>
          <w:szCs w:val="24"/>
          <w:lang w:eastAsia="ru-RU"/>
        </w:rPr>
        <w:lastRenderedPageBreak/>
        <w:t xml:space="preserve">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 xml:space="preserve">Сроки начала и окончания работ по этапам (технологическим процессам, за </w:t>
      </w:r>
      <w:r w:rsidRPr="00CA57BB">
        <w:rPr>
          <w:rFonts w:ascii="Times New Roman" w:eastAsia="Times New Roman" w:hAnsi="Times New Roman" w:cs="Times New Roman"/>
          <w:sz w:val="24"/>
          <w:szCs w:val="24"/>
          <w:lang w:eastAsia="ru-RU"/>
        </w:rPr>
        <w:lastRenderedPageBreak/>
        <w:t>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w:t>
      </w:r>
      <w:r w:rsidRPr="00CA57BB">
        <w:rPr>
          <w:rFonts w:ascii="Times New Roman" w:eastAsia="Times New Roman" w:hAnsi="Times New Roman" w:cs="Times New Roman"/>
          <w:sz w:val="24"/>
          <w:szCs w:val="24"/>
          <w:lang w:eastAsia="ru-RU"/>
        </w:rPr>
        <w:lastRenderedPageBreak/>
        <w:t>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A74FFF"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lang w:eastAsia="ru-RU"/>
        </w:rPr>
        <w:t xml:space="preserve">______________________________________________________________________. </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6.1.21. Обеспечить  выполнение противопожарных мероприятий и тушение возможного пожара на Объектах строительства и прилегающей территории, находящейся </w:t>
      </w:r>
      <w:r w:rsidRPr="00CA57BB">
        <w:rPr>
          <w:rFonts w:ascii="Times New Roman" w:eastAsia="Times New Roman" w:hAnsi="Times New Roman" w:cs="Times New Roman"/>
          <w:sz w:val="24"/>
          <w:szCs w:val="24"/>
          <w:lang w:eastAsia="ru-RU"/>
        </w:rPr>
        <w:lastRenderedPageBreak/>
        <w:t>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w:t>
      </w:r>
      <w:r w:rsidRPr="00CA57BB">
        <w:rPr>
          <w:rFonts w:ascii="Times New Roman" w:eastAsia="Times New Roman" w:hAnsi="Times New Roman" w:cs="Times New Roman"/>
          <w:sz w:val="24"/>
          <w:szCs w:val="24"/>
          <w:lang w:eastAsia="ru-RU"/>
        </w:rPr>
        <w:lastRenderedPageBreak/>
        <w:t>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w:t>
      </w:r>
      <w:r w:rsidRPr="00CA57BB">
        <w:rPr>
          <w:rFonts w:ascii="Times New Roman" w:eastAsia="Times New Roman" w:hAnsi="Times New Roman" w:cs="Times New Roman"/>
          <w:sz w:val="24"/>
          <w:szCs w:val="24"/>
          <w:lang w:eastAsia="ru-RU"/>
        </w:rPr>
        <w:lastRenderedPageBreak/>
        <w:t xml:space="preserve">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lastRenderedPageBreak/>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lastRenderedPageBreak/>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7" w:name="_Toc149127769"/>
      <w:bookmarkStart w:id="8"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7"/>
      <w:bookmarkEnd w:id="8"/>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9" w:name="ТекстовоеПоле41"/>
      <w:r w:rsidRPr="00CA57BB">
        <w:rPr>
          <w:rFonts w:ascii="Times New Roman" w:eastAsia="Times New Roman" w:hAnsi="Times New Roman" w:cs="Times New Roman"/>
          <w:bCs/>
          <w:snapToGrid w:val="0"/>
          <w:sz w:val="24"/>
          <w:szCs w:val="24"/>
          <w:lang w:eastAsia="ru-RU"/>
        </w:rPr>
        <w:t xml:space="preserve"> </w:t>
      </w:r>
      <w:bookmarkEnd w:id="9"/>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w:t>
      </w:r>
      <w:r w:rsidRPr="00CA57BB">
        <w:rPr>
          <w:rFonts w:ascii="Times New Roman" w:eastAsia="Times New Roman" w:hAnsi="Times New Roman" w:cs="Times New Roman"/>
          <w:bCs/>
          <w:sz w:val="24"/>
          <w:szCs w:val="24"/>
          <w:lang w:eastAsia="ru-RU"/>
        </w:rPr>
        <w:lastRenderedPageBreak/>
        <w:t xml:space="preserve">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0" w:name="_Ref12190862"/>
      <w:r w:rsidRPr="00CA57BB">
        <w:rPr>
          <w:rFonts w:ascii="Times New Roman" w:eastAsia="Times New Roman" w:hAnsi="Times New Roman" w:cs="Times New Roman"/>
          <w:snapToGrid w:val="0"/>
          <w:color w:val="000000"/>
          <w:sz w:val="24"/>
          <w:szCs w:val="24"/>
          <w:lang w:eastAsia="ru-RU"/>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r w:rsidRPr="00CA57BB">
        <w:rPr>
          <w:rFonts w:ascii="Times New Roman" w:eastAsia="Times New Roman" w:hAnsi="Times New Roman" w:cs="Times New Roman"/>
          <w:snapToGrid w:val="0"/>
          <w:color w:val="000000"/>
          <w:sz w:val="24"/>
          <w:szCs w:val="24"/>
          <w:lang w:eastAsia="ru-RU"/>
        </w:rPr>
        <w:t>.</w:t>
      </w:r>
      <w:proofErr w:type="gramEnd"/>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w:t>
      </w:r>
      <w:r w:rsidRPr="00CA57BB">
        <w:rPr>
          <w:rFonts w:ascii="Times New Roman" w:eastAsia="Times New Roman" w:hAnsi="Times New Roman" w:cs="Times New Roman"/>
          <w:sz w:val="24"/>
          <w:szCs w:val="24"/>
          <w:lang w:eastAsia="ru-RU"/>
        </w:rPr>
        <w:lastRenderedPageBreak/>
        <w:t>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8.2.5. 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napToGrid w:val="0"/>
          <w:color w:val="000000"/>
          <w:sz w:val="24"/>
          <w:szCs w:val="24"/>
          <w:lang w:eastAsia="ru-RU"/>
        </w:rPr>
        <w:t>8.2.7. П</w:t>
      </w:r>
      <w:r w:rsidRPr="00CA57BB">
        <w:rPr>
          <w:rFonts w:ascii="Times New Roman" w:eastAsia="Times New Roman" w:hAnsi="Times New Roman" w:cs="Times New Roman"/>
          <w:sz w:val="24"/>
          <w:szCs w:val="24"/>
          <w:lang w:eastAsia="ru-RU"/>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w:t>
      </w:r>
      <w:r w:rsidRPr="00CA57BB">
        <w:rPr>
          <w:rFonts w:ascii="Times New Roman" w:eastAsia="Times New Roman" w:hAnsi="Times New Roman" w:cs="Times New Roman"/>
          <w:sz w:val="24"/>
          <w:szCs w:val="24"/>
          <w:lang w:eastAsia="ru-RU"/>
        </w:rPr>
        <w:lastRenderedPageBreak/>
        <w:t>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иных, не зависящих от Подрядчика обстоятельств, которые грозят годности или </w:t>
      </w:r>
      <w:r w:rsidRPr="00CA57BB">
        <w:rPr>
          <w:rFonts w:ascii="Times New Roman" w:eastAsia="Times New Roman" w:hAnsi="Times New Roman" w:cs="Times New Roman"/>
          <w:sz w:val="24"/>
          <w:szCs w:val="24"/>
          <w:lang w:eastAsia="ru-RU"/>
        </w:rPr>
        <w:lastRenderedPageBreak/>
        <w:t>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10.4. В случаях, если закрытие скрытых работ произведено без подтверждения </w:t>
      </w:r>
      <w:r w:rsidRPr="00CA57BB">
        <w:rPr>
          <w:rFonts w:ascii="Times New Roman" w:eastAsia="Times New Roman" w:hAnsi="Times New Roman" w:cs="Times New Roman"/>
          <w:sz w:val="24"/>
          <w:szCs w:val="24"/>
          <w:lang w:eastAsia="ru-RU"/>
        </w:rPr>
        <w:lastRenderedPageBreak/>
        <w:t>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11.2. Заказчик и/или строительный контроль вправе в любое время проверять и </w:t>
      </w:r>
      <w:r w:rsidRPr="00CA57BB">
        <w:rPr>
          <w:rFonts w:ascii="Times New Roman" w:eastAsia="Times New Roman" w:hAnsi="Times New Roman" w:cs="Times New Roman"/>
          <w:sz w:val="24"/>
          <w:szCs w:val="24"/>
          <w:lang w:eastAsia="ru-RU"/>
        </w:rPr>
        <w:lastRenderedPageBreak/>
        <w:t>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12.5. За невыполнение Подрядчиком согласованного Сторонами объема Работ, Подрядчик обязан уплатить штраф в размере  __2_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w:t>
      </w:r>
      <w:r w:rsidRPr="00CA57BB">
        <w:rPr>
          <w:rFonts w:ascii="Times New Roman" w:eastAsia="Times New Roman" w:hAnsi="Times New Roman" w:cs="Times New Roman"/>
          <w:sz w:val="24"/>
          <w:szCs w:val="24"/>
          <w:lang w:eastAsia="ru-RU"/>
        </w:rPr>
        <w:lastRenderedPageBreak/>
        <w:t>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w:t>
      </w:r>
      <w:r w:rsidRPr="00CA57BB">
        <w:rPr>
          <w:rFonts w:ascii="Times New Roman" w:eastAsia="Times New Roman" w:hAnsi="Times New Roman" w:cs="Times New Roman"/>
          <w:sz w:val="24"/>
          <w:szCs w:val="24"/>
          <w:lang w:eastAsia="ru-RU"/>
        </w:rPr>
        <w:lastRenderedPageBreak/>
        <w:t>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w:t>
      </w:r>
      <w:proofErr w:type="gramEnd"/>
      <w:r w:rsidRPr="00CA57BB">
        <w:rPr>
          <w:rFonts w:ascii="Times New Roman" w:eastAsia="Times New Roman" w:hAnsi="Times New Roman" w:cs="Times New Roman"/>
          <w:sz w:val="24"/>
          <w:szCs w:val="24"/>
          <w:lang w:eastAsia="ru-RU"/>
        </w:rPr>
        <w:t xml:space="preserve">,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_____________________________________________________________.</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и/или нарушений требований Заказчика, основанных на указанных локальных нормативных актах, Подрядчик обязан уплатить Заказчику штраф в размере __0,1_ % (ноль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lastRenderedPageBreak/>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12.21. </w:t>
      </w:r>
      <w:proofErr w:type="gramStart"/>
      <w:r w:rsidRPr="00CA57BB">
        <w:rPr>
          <w:rFonts w:ascii="Times New Roman" w:eastAsia="Times New Roman" w:hAnsi="Times New Roman" w:cs="Times New Roman"/>
          <w:bCs/>
          <w:color w:val="000000"/>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 xml:space="preserve">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w:t>
      </w:r>
      <w:r w:rsidRPr="00CA57BB">
        <w:rPr>
          <w:rFonts w:ascii="Times New Roman" w:eastAsia="Times New Roman" w:hAnsi="Times New Roman" w:cs="Times New Roman"/>
          <w:sz w:val="24"/>
          <w:szCs w:val="24"/>
          <w:lang w:eastAsia="ru-RU"/>
        </w:rPr>
        <w:lastRenderedPageBreak/>
        <w:t>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t xml:space="preserve">12.29. </w:t>
      </w:r>
      <w:proofErr w:type="gramStart"/>
      <w:r w:rsidRPr="00CA57BB">
        <w:rPr>
          <w:rFonts w:ascii="Times New Roman" w:eastAsia="Times New Roman" w:hAnsi="Times New Roman" w:cs="Times New Roman"/>
          <w:sz w:val="24"/>
          <w:szCs w:val="24"/>
          <w:lang w:eastAsia="ru-RU"/>
        </w:rPr>
        <w:t>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w:t>
      </w:r>
      <w:proofErr w:type="gramEnd"/>
      <w:r w:rsidRPr="00CA57BB">
        <w:rPr>
          <w:rFonts w:ascii="Times New Roman" w:eastAsia="Times New Roman" w:hAnsi="Times New Roman" w:cs="Times New Roman"/>
          <w:sz w:val="24"/>
          <w:szCs w:val="24"/>
          <w:lang w:eastAsia="ru-RU"/>
        </w:rPr>
        <w:t xml:space="preserve"> 000 (Трехсот тысяч) 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A57BB">
        <w:rPr>
          <w:rFonts w:ascii="Times New Roman" w:eastAsia="Times New Roman" w:hAnsi="Times New Roman" w:cs="Times New Roman"/>
          <w:sz w:val="24"/>
          <w:szCs w:val="24"/>
          <w:lang w:eastAsia="ru-RU"/>
        </w:rPr>
        <w:t xml:space="preserve"> данного работника.</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12.31. </w:t>
      </w:r>
      <w:proofErr w:type="gramStart"/>
      <w:r w:rsidRPr="00CA57BB">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w:t>
      </w:r>
      <w:r w:rsidRPr="00CA57BB">
        <w:rPr>
          <w:rFonts w:ascii="Times New Roman" w:eastAsia="Times New Roman" w:hAnsi="Times New Roman" w:cs="Times New Roman"/>
          <w:sz w:val="24"/>
          <w:szCs w:val="24"/>
          <w:lang w:eastAsia="ru-RU"/>
        </w:rPr>
        <w:lastRenderedPageBreak/>
        <w:t>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(Триста тысяч) рублей, за каждый</w:t>
      </w:r>
      <w:proofErr w:type="gramEnd"/>
      <w:r w:rsidRPr="00CA57BB">
        <w:rPr>
          <w:rFonts w:ascii="Times New Roman" w:eastAsia="Times New Roman" w:hAnsi="Times New Roman" w:cs="Times New Roman"/>
          <w:sz w:val="24"/>
          <w:szCs w:val="24"/>
          <w:lang w:eastAsia="ru-RU"/>
        </w:rPr>
        <w:t xml:space="preserve">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w:t>
      </w:r>
      <w:r w:rsidRPr="00CA57BB">
        <w:rPr>
          <w:rFonts w:ascii="Times New Roman" w:eastAsia="Times New Roman" w:hAnsi="Times New Roman" w:cs="Times New Roman"/>
          <w:sz w:val="24"/>
          <w:szCs w:val="24"/>
          <w:lang w:eastAsia="ru-RU"/>
        </w:rPr>
        <w:lastRenderedPageBreak/>
        <w:t xml:space="preserve">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w:t>
      </w:r>
      <w:r w:rsidRPr="00CA57BB">
        <w:rPr>
          <w:rFonts w:ascii="Times New Roman" w:eastAsia="Times New Roman" w:hAnsi="Times New Roman" w:cs="Times New Roman"/>
          <w:sz w:val="24"/>
          <w:szCs w:val="24"/>
          <w:lang w:eastAsia="ru-RU"/>
        </w:rPr>
        <w:lastRenderedPageBreak/>
        <w:t>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lastRenderedPageBreak/>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13.3. Подрядчик обязан соблюдать требования к оборудованию, устройству, инструменту и приспособлениям, используемым в ходе выполнения работ, и его </w:t>
      </w:r>
      <w:r w:rsidRPr="00CA57BB">
        <w:rPr>
          <w:rFonts w:ascii="Times New Roman" w:eastAsia="Times New Roman" w:hAnsi="Times New Roman" w:cs="Times New Roman"/>
          <w:sz w:val="24"/>
          <w:szCs w:val="24"/>
          <w:lang w:eastAsia="ru-RU"/>
        </w:rPr>
        <w:lastRenderedPageBreak/>
        <w:t>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CA57BB">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w:t>
      </w:r>
      <w:r w:rsidRPr="00CA57BB">
        <w:rPr>
          <w:rFonts w:ascii="Times New Roman" w:eastAsia="Times New Roman" w:hAnsi="Times New Roman" w:cs="Times New Roman"/>
          <w:sz w:val="24"/>
          <w:szCs w:val="24"/>
          <w:lang w:eastAsia="ru-RU"/>
        </w:rPr>
        <w:lastRenderedPageBreak/>
        <w:t xml:space="preserve">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17.2.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w:t>
      </w:r>
      <w:r w:rsidRPr="00CA57BB">
        <w:rPr>
          <w:rFonts w:ascii="Times New Roman" w:eastAsia="Times New Roman" w:hAnsi="Times New Roman" w:cs="Times New Roman"/>
          <w:bCs/>
          <w:sz w:val="24"/>
          <w:szCs w:val="20"/>
          <w:lang w:eastAsia="ru-RU"/>
        </w:rPr>
        <w:lastRenderedPageBreak/>
        <w:t>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18.11. Настоящий Договор или Дополнительные соглашения к нему, могут быть переданы с использованием факсимильной связи. Риск искажения информации при </w:t>
      </w:r>
      <w:r w:rsidRPr="00CA57BB">
        <w:rPr>
          <w:rFonts w:ascii="Times New Roman" w:eastAsia="Times New Roman" w:hAnsi="Times New Roman" w:cs="Times New Roman"/>
          <w:bCs/>
          <w:sz w:val="24"/>
          <w:szCs w:val="20"/>
          <w:lang w:eastAsia="ru-RU"/>
        </w:rPr>
        <w:lastRenderedPageBreak/>
        <w:t>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_3_  – Расчет договорной цены;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№_5_ – Порядок определения стоимости строительно-монтажных работ по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_7_  – Ориентировочная стоимость оборудования Подрядчика;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_8_  – Перечень оборудования, предоставляемого Заказчиком;</w:t>
      </w:r>
    </w:p>
    <w:p w:rsidR="00CA57BB" w:rsidRPr="00CA57BB" w:rsidRDefault="00CA57BB" w:rsidP="000D0D6C">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_9_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_10_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033" w:type="dxa"/>
        <w:tblInd w:w="-318" w:type="dxa"/>
        <w:shd w:val="pct10" w:color="auto" w:fill="auto"/>
        <w:tblLayout w:type="fixed"/>
        <w:tblLook w:val="0000" w:firstRow="0" w:lastRow="0" w:firstColumn="0" w:lastColumn="0" w:noHBand="0" w:noVBand="0"/>
      </w:tblPr>
      <w:tblGrid>
        <w:gridCol w:w="5317"/>
        <w:gridCol w:w="352"/>
        <w:gridCol w:w="4364"/>
      </w:tblGrid>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w:t>
            </w:r>
            <w:proofErr w:type="spellStart"/>
            <w:r w:rsidRPr="000D0D6C">
              <w:rPr>
                <w:rFonts w:ascii="Times New Roman" w:eastAsia="Times New Roman" w:hAnsi="Times New Roman" w:cs="Times New Roman"/>
                <w:b/>
                <w:sz w:val="18"/>
                <w:szCs w:val="18"/>
                <w:lang w:eastAsia="ru-RU"/>
              </w:rPr>
              <w:t>Славнефть</w:t>
            </w:r>
            <w:proofErr w:type="spellEnd"/>
            <w:r w:rsidRPr="000D0D6C">
              <w:rPr>
                <w:rFonts w:ascii="Times New Roman" w:eastAsia="Times New Roman" w:hAnsi="Times New Roman" w:cs="Times New Roman"/>
                <w:b/>
                <w:sz w:val="18"/>
                <w:szCs w:val="18"/>
                <w:lang w:eastAsia="ru-RU"/>
              </w:rPr>
              <w:t>-Мегионнефтегаз»</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р</w:t>
            </w:r>
            <w:proofErr w:type="gramEnd"/>
            <w:r w:rsidRPr="000D0D6C">
              <w:rPr>
                <w:rFonts w:ascii="Times New Roman" w:eastAsia="Times New Roman" w:hAnsi="Times New Roman" w:cs="Times New Roman"/>
                <w:sz w:val="18"/>
                <w:szCs w:val="18"/>
                <w:lang w:eastAsia="ru-RU"/>
              </w:rPr>
              <w:t>/с 40702810400004262190</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в ОАО АКБ «ЕВРОФИНАНС МОСНАРБАНК» </w:t>
            </w:r>
            <w:proofErr w:type="spellStart"/>
            <w:r w:rsidRPr="000D0D6C">
              <w:rPr>
                <w:rFonts w:ascii="Times New Roman" w:eastAsia="Times New Roman" w:hAnsi="Times New Roman" w:cs="Times New Roman"/>
                <w:sz w:val="18"/>
                <w:szCs w:val="18"/>
                <w:lang w:eastAsia="ru-RU"/>
              </w:rPr>
              <w:t>г</w:t>
            </w:r>
            <w:proofErr w:type="gramStart"/>
            <w:r w:rsidRPr="000D0D6C">
              <w:rPr>
                <w:rFonts w:ascii="Times New Roman" w:eastAsia="Times New Roman" w:hAnsi="Times New Roman" w:cs="Times New Roman"/>
                <w:sz w:val="18"/>
                <w:szCs w:val="18"/>
                <w:lang w:eastAsia="ru-RU"/>
              </w:rPr>
              <w:t>.М</w:t>
            </w:r>
            <w:proofErr w:type="gramEnd"/>
            <w:r w:rsidRPr="000D0D6C">
              <w:rPr>
                <w:rFonts w:ascii="Times New Roman" w:eastAsia="Times New Roman" w:hAnsi="Times New Roman" w:cs="Times New Roman"/>
                <w:sz w:val="18"/>
                <w:szCs w:val="18"/>
                <w:lang w:eastAsia="ru-RU"/>
              </w:rPr>
              <w:t>осква</w:t>
            </w:r>
            <w:proofErr w:type="spellEnd"/>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(Директор по капитальному строительству</w:t>
            </w:r>
            <w:proofErr w:type="gramEnd"/>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EB1FD4">
        <w:trPr>
          <w:trHeight w:val="261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0D0D6C" w:rsidRDefault="000D0D6C" w:rsidP="00CA57BB">
      <w:pPr>
        <w:widowControl w:val="0"/>
        <w:autoSpaceDE w:val="0"/>
        <w:autoSpaceDN w:val="0"/>
        <w:adjustRightInd w:val="0"/>
        <w:spacing w:after="0"/>
        <w:ind w:right="-2"/>
        <w:rPr>
          <w:rFonts w:ascii="Times New Roman" w:eastAsia="Times New Roman" w:hAnsi="Times New Roman" w:cs="Times New Roman"/>
          <w:b/>
          <w:bCs/>
          <w:lang w:eastAsia="ru-RU"/>
        </w:rPr>
      </w:pPr>
    </w:p>
    <w:p w:rsidR="00580A03" w:rsidRPr="00CA57BB" w:rsidRDefault="00580A03"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974BB2"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Директор по капитальному строительству</w:t>
            </w: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bookmarkStart w:id="11" w:name="_GoBack"/>
      <w:bookmarkEnd w:id="11"/>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w:t>
            </w:r>
            <w:r w:rsidR="0034362D">
              <w:rPr>
                <w:rFonts w:ascii="Times New Roman" w:eastAsia="Times New Roman" w:hAnsi="Times New Roman" w:cs="Times New Roman"/>
                <w:sz w:val="24"/>
                <w:szCs w:val="24"/>
                <w:lang w:eastAsia="ru-RU"/>
              </w:rPr>
              <w:t xml:space="preserve"> СТО 025-2013</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34362D">
              <w:rPr>
                <w:rFonts w:ascii="Times New Roman" w:eastAsia="Times New Roman" w:hAnsi="Times New Roman" w:cs="Times New Roman"/>
                <w:sz w:val="24"/>
                <w:szCs w:val="24"/>
                <w:lang w:eastAsia="ru-RU"/>
              </w:rPr>
              <w:t xml:space="preserve"> СТБ 034-2012</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w:t>
            </w:r>
            <w:r w:rsidR="00041FFC">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xml:space="preserve">услуг на производственной территории и объектах </w:t>
            </w:r>
            <w:r w:rsidRPr="00CA57BB">
              <w:rPr>
                <w:rFonts w:ascii="Times New Roman" w:eastAsia="Calibri" w:hAnsi="Times New Roman" w:cs="Times New Roman"/>
                <w:bCs/>
                <w:color w:val="000000"/>
                <w:sz w:val="24"/>
                <w:szCs w:val="24"/>
              </w:rPr>
              <w:t xml:space="preserve"> открытого акционерного общества «</w:t>
            </w:r>
            <w:proofErr w:type="spellStart"/>
            <w:r w:rsidRPr="00CA57BB">
              <w:rPr>
                <w:rFonts w:ascii="Times New Roman" w:eastAsia="Calibri" w:hAnsi="Times New Roman" w:cs="Times New Roman"/>
                <w:bCs/>
                <w:color w:val="000000"/>
                <w:sz w:val="24"/>
                <w:szCs w:val="24"/>
              </w:rPr>
              <w:t>Славнефть</w:t>
            </w:r>
            <w:proofErr w:type="spellEnd"/>
            <w:r w:rsidRPr="00CA57BB">
              <w:rPr>
                <w:rFonts w:ascii="Times New Roman" w:eastAsia="Calibri" w:hAnsi="Times New Roman" w:cs="Times New Roman"/>
                <w:bCs/>
                <w:color w:val="000000"/>
                <w:sz w:val="24"/>
                <w:szCs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r w:rsidRPr="00CA57BB">
              <w:rPr>
                <w:rFonts w:ascii="Times New Roman" w:eastAsia="Times New Roman" w:hAnsi="Times New Roman" w:cs="Times New Roman"/>
                <w:bCs/>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991E1A"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91E1A" w:rsidRPr="00CA57BB" w:rsidRDefault="00991E1A" w:rsidP="00991E1A">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991E1A" w:rsidRPr="00CA57BB" w:rsidRDefault="00991E1A"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991E1A" w:rsidRPr="00CA57BB" w:rsidRDefault="00991E1A"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Директор по капитальному строительству                                     </w:t>
            </w:r>
          </w:p>
        </w:tc>
        <w:tc>
          <w:tcPr>
            <w:tcW w:w="4879" w:type="dxa"/>
          </w:tcPr>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EB1FD4" w:rsidP="00CA57BB">
            <w:pPr>
              <w:keepLines/>
              <w:spacing w:after="0" w:line="260" w:lineRule="auto"/>
              <w:ind w:left="709"/>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sectPr w:rsidR="00B02096" w:rsidSect="00EB1FD4">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BB2" w:rsidRDefault="00974BB2">
      <w:pPr>
        <w:spacing w:after="0" w:line="240" w:lineRule="auto"/>
      </w:pPr>
      <w:r>
        <w:separator/>
      </w:r>
    </w:p>
  </w:endnote>
  <w:endnote w:type="continuationSeparator" w:id="0">
    <w:p w:rsidR="00974BB2" w:rsidRDefault="00974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74FFF" w:rsidRDefault="00A74FFF">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991E1A">
      <w:rPr>
        <w:rStyle w:val="ae"/>
        <w:noProof/>
      </w:rPr>
      <w:t>41</w:t>
    </w:r>
    <w:r>
      <w:rPr>
        <w:rStyle w:val="ae"/>
      </w:rPr>
      <w:fldChar w:fldCharType="end"/>
    </w:r>
  </w:p>
  <w:p w:rsidR="00A74FFF" w:rsidRDefault="00A74FFF">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BB2" w:rsidRDefault="00974BB2">
      <w:pPr>
        <w:spacing w:after="0" w:line="240" w:lineRule="auto"/>
      </w:pPr>
      <w:r>
        <w:separator/>
      </w:r>
    </w:p>
  </w:footnote>
  <w:footnote w:type="continuationSeparator" w:id="0">
    <w:p w:rsidR="00974BB2" w:rsidRDefault="00974B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39E9"/>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C0BEF"/>
    <w:rsid w:val="002C5F79"/>
    <w:rsid w:val="002C6E69"/>
    <w:rsid w:val="002F0150"/>
    <w:rsid w:val="002F0B5F"/>
    <w:rsid w:val="002F6586"/>
    <w:rsid w:val="00303CFC"/>
    <w:rsid w:val="00305184"/>
    <w:rsid w:val="00307718"/>
    <w:rsid w:val="00307D8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614D7"/>
    <w:rsid w:val="00364649"/>
    <w:rsid w:val="00364CD1"/>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43825"/>
    <w:rsid w:val="004442EF"/>
    <w:rsid w:val="004527A0"/>
    <w:rsid w:val="00456788"/>
    <w:rsid w:val="00463A6F"/>
    <w:rsid w:val="00463F80"/>
    <w:rsid w:val="00464C85"/>
    <w:rsid w:val="00465339"/>
    <w:rsid w:val="00465763"/>
    <w:rsid w:val="00475763"/>
    <w:rsid w:val="00476393"/>
    <w:rsid w:val="00476A1C"/>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204F"/>
    <w:rsid w:val="00514AE3"/>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80A0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20FD"/>
    <w:rsid w:val="005D5864"/>
    <w:rsid w:val="005D7A9B"/>
    <w:rsid w:val="005E22E3"/>
    <w:rsid w:val="005E5679"/>
    <w:rsid w:val="005E7B09"/>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7F81"/>
    <w:rsid w:val="00742F7A"/>
    <w:rsid w:val="007547F3"/>
    <w:rsid w:val="0075712A"/>
    <w:rsid w:val="00760DD1"/>
    <w:rsid w:val="00761A18"/>
    <w:rsid w:val="00761ECB"/>
    <w:rsid w:val="00762C40"/>
    <w:rsid w:val="00762FD9"/>
    <w:rsid w:val="0077047F"/>
    <w:rsid w:val="00776358"/>
    <w:rsid w:val="00780016"/>
    <w:rsid w:val="00780FC1"/>
    <w:rsid w:val="00781673"/>
    <w:rsid w:val="00781E78"/>
    <w:rsid w:val="007847AF"/>
    <w:rsid w:val="007A2F3F"/>
    <w:rsid w:val="007B0965"/>
    <w:rsid w:val="007B27B5"/>
    <w:rsid w:val="007B5323"/>
    <w:rsid w:val="007D4A9F"/>
    <w:rsid w:val="007D6099"/>
    <w:rsid w:val="007D7DED"/>
    <w:rsid w:val="007E244D"/>
    <w:rsid w:val="007E6FFE"/>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4BB2"/>
    <w:rsid w:val="00977189"/>
    <w:rsid w:val="00977675"/>
    <w:rsid w:val="0098415E"/>
    <w:rsid w:val="00991E1A"/>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4FFF"/>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33D2"/>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Pages>
  <Words>18903</Words>
  <Characters>107748</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Олеся Федоровна Петрова</cp:lastModifiedBy>
  <cp:revision>7</cp:revision>
  <cp:lastPrinted>2015-01-13T07:24:00Z</cp:lastPrinted>
  <dcterms:created xsi:type="dcterms:W3CDTF">2014-10-08T07:11:00Z</dcterms:created>
  <dcterms:modified xsi:type="dcterms:W3CDTF">2015-01-13T07:29:00Z</dcterms:modified>
</cp:coreProperties>
</file>