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F305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2F305B">
              <w:rPr>
                <w:rFonts w:ascii="Times New Roman" w:hAnsi="Times New Roman"/>
                <w:sz w:val="24"/>
              </w:rPr>
              <w:t>407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919A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F305B">
              <w:rPr>
                <w:rFonts w:ascii="Times New Roman" w:hAnsi="Times New Roman"/>
                <w:sz w:val="24"/>
              </w:rPr>
              <w:t>2</w:t>
            </w:r>
            <w:r w:rsidR="009919A7">
              <w:rPr>
                <w:rFonts w:ascii="Times New Roman" w:hAnsi="Times New Roman"/>
                <w:sz w:val="24"/>
              </w:rPr>
              <w:t>8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2F305B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2F305B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339C5" w:rsidRPr="00A339C5">
        <w:rPr>
          <w:rFonts w:ascii="Times New Roman" w:hAnsi="Times New Roman"/>
          <w:b/>
          <w:sz w:val="24"/>
        </w:rPr>
        <w:t>865</w:t>
      </w:r>
      <w:r w:rsidR="00EA7411" w:rsidRPr="000957C3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2F305B">
        <w:rPr>
          <w:rFonts w:ascii="Times New Roman" w:hAnsi="Times New Roman"/>
          <w:b/>
          <w:sz w:val="24"/>
        </w:rPr>
        <w:t>2</w:t>
      </w:r>
      <w:r w:rsidR="009919A7">
        <w:rPr>
          <w:rFonts w:ascii="Times New Roman" w:hAnsi="Times New Roman"/>
          <w:b/>
          <w:sz w:val="24"/>
        </w:rPr>
        <w:t>8</w:t>
      </w:r>
      <w:r w:rsidR="002F305B">
        <w:rPr>
          <w:rFonts w:ascii="Times New Roman" w:hAnsi="Times New Roman"/>
          <w:b/>
          <w:sz w:val="24"/>
        </w:rPr>
        <w:t>.11.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C9278E">
        <w:rPr>
          <w:rFonts w:ascii="Times New Roman" w:hAnsi="Times New Roman"/>
          <w:sz w:val="24"/>
        </w:rPr>
        <w:t>на оказание услуг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A339C5">
        <w:rPr>
          <w:rFonts w:ascii="Times New Roman" w:hAnsi="Times New Roman"/>
          <w:b/>
          <w:sz w:val="24"/>
        </w:rPr>
        <w:t>140</w:t>
      </w:r>
      <w:r w:rsidR="00A339C5" w:rsidRPr="00A339C5">
        <w:rPr>
          <w:rFonts w:ascii="Times New Roman" w:hAnsi="Times New Roman"/>
          <w:b/>
          <w:sz w:val="24"/>
        </w:rPr>
        <w:t>8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A339C5">
        <w:rPr>
          <w:rFonts w:ascii="Times New Roman" w:hAnsi="Times New Roman"/>
          <w:b/>
          <w:sz w:val="23"/>
          <w:szCs w:val="23"/>
          <w:u w:val="single"/>
        </w:rPr>
        <w:t>Внутритрубная диагностика нефтепромысловых трубопроводов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C9278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7B658C" w:rsidRPr="007B658C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1F2ABA" w:rsidRDefault="00875B06" w:rsidP="001F2ABA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A339C5">
        <w:rPr>
          <w:rFonts w:ascii="Times New Roman" w:hAnsi="Times New Roman"/>
          <w:b/>
          <w:sz w:val="24"/>
        </w:rPr>
        <w:t>1408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A339C5">
        <w:rPr>
          <w:rFonts w:ascii="Times New Roman" w:hAnsi="Times New Roman"/>
          <w:b/>
          <w:sz w:val="23"/>
          <w:szCs w:val="23"/>
          <w:u w:val="single"/>
        </w:rPr>
        <w:t>Внутритрубная диагностика нефтепромысловых трубопроводов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057F45" w:rsidRPr="004D66A3" w:rsidRDefault="00057F45" w:rsidP="00057F45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057F45" w:rsidRPr="00A56F81" w:rsidRDefault="00057F45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56B04" w:rsidRPr="00856B04" w:rsidRDefault="00856B04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</w:t>
      </w:r>
      <w:r w:rsidR="00403CA5">
        <w:rPr>
          <w:rFonts w:ascii="Times New Roman" w:hAnsi="Times New Roman"/>
          <w:b/>
          <w:sz w:val="24"/>
        </w:rPr>
        <w:t>«</w:t>
      </w:r>
      <w:r w:rsidR="002F305B">
        <w:rPr>
          <w:rFonts w:ascii="Times New Roman" w:hAnsi="Times New Roman"/>
          <w:b/>
          <w:sz w:val="24"/>
        </w:rPr>
        <w:t>2</w:t>
      </w:r>
      <w:r w:rsidR="009919A7">
        <w:rPr>
          <w:rFonts w:ascii="Times New Roman" w:hAnsi="Times New Roman"/>
          <w:b/>
          <w:sz w:val="24"/>
        </w:rPr>
        <w:t>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2F305B">
        <w:rPr>
          <w:rFonts w:ascii="Times New Roman" w:hAnsi="Times New Roman"/>
          <w:b/>
          <w:sz w:val="24"/>
        </w:rPr>
        <w:t>ноября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2F305B">
        <w:rPr>
          <w:rFonts w:ascii="Times New Roman" w:hAnsi="Times New Roman"/>
          <w:b/>
          <w:sz w:val="24"/>
        </w:rPr>
        <w:t>1</w:t>
      </w:r>
      <w:r w:rsidR="009919A7">
        <w:rPr>
          <w:rFonts w:ascii="Times New Roman" w:hAnsi="Times New Roman"/>
          <w:b/>
          <w:sz w:val="24"/>
        </w:rPr>
        <w:t>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2F305B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="002F305B">
        <w:rPr>
          <w:rFonts w:ascii="Times New Roman" w:hAnsi="Times New Roman"/>
          <w:b/>
          <w:sz w:val="24"/>
        </w:rPr>
        <w:t xml:space="preserve"> до 15:00 МСК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446441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46441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</w:t>
      </w:r>
      <w:r w:rsidR="00D92DED" w:rsidRPr="000957C3">
        <w:rPr>
          <w:rFonts w:ascii="Times New Roman" w:hAnsi="Times New Roman"/>
          <w:b/>
          <w:sz w:val="24"/>
        </w:rPr>
        <w:t>Предложение на №</w:t>
      </w:r>
      <w:r w:rsidR="007D3874" w:rsidRPr="000957C3">
        <w:rPr>
          <w:rFonts w:ascii="Times New Roman" w:hAnsi="Times New Roman"/>
          <w:b/>
          <w:sz w:val="24"/>
        </w:rPr>
        <w:t xml:space="preserve"> </w:t>
      </w:r>
      <w:r w:rsidR="00A339C5">
        <w:rPr>
          <w:rFonts w:ascii="Times New Roman" w:hAnsi="Times New Roman"/>
          <w:b/>
          <w:sz w:val="24"/>
        </w:rPr>
        <w:t>865</w:t>
      </w:r>
      <w:r w:rsidR="00637924" w:rsidRPr="000957C3">
        <w:rPr>
          <w:rFonts w:ascii="Times New Roman" w:hAnsi="Times New Roman"/>
          <w:b/>
          <w:sz w:val="24"/>
        </w:rPr>
        <w:t>/ТК/2014г</w:t>
      </w:r>
      <w:r w:rsidR="00637924" w:rsidRPr="00A82139">
        <w:rPr>
          <w:rFonts w:ascii="Times New Roman" w:hAnsi="Times New Roman"/>
          <w:b/>
          <w:sz w:val="24"/>
        </w:rPr>
        <w:t>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2F305B">
        <w:rPr>
          <w:rFonts w:ascii="Times New Roman" w:hAnsi="Times New Roman"/>
          <w:b/>
          <w:sz w:val="24"/>
        </w:rPr>
        <w:t>2</w:t>
      </w:r>
      <w:r w:rsidR="009919A7">
        <w:rPr>
          <w:rFonts w:ascii="Times New Roman" w:hAnsi="Times New Roman"/>
          <w:b/>
          <w:sz w:val="24"/>
        </w:rPr>
        <w:t>8</w:t>
      </w:r>
      <w:r w:rsidR="002F305B">
        <w:rPr>
          <w:rFonts w:ascii="Times New Roman" w:hAnsi="Times New Roman"/>
          <w:b/>
          <w:sz w:val="24"/>
        </w:rPr>
        <w:t>.11.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 w:rsidR="00EC5D33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3F7363" w:rsidRPr="003F7363">
        <w:rPr>
          <w:rFonts w:ascii="Times New Roman" w:hAnsi="Times New Roman"/>
          <w:sz w:val="24"/>
        </w:rPr>
        <w:t>1405</w:t>
      </w:r>
      <w:r w:rsidRPr="007B7AAC">
        <w:rPr>
          <w:rFonts w:ascii="Times New Roman" w:hAnsi="Times New Roman"/>
          <w:sz w:val="24"/>
        </w:rPr>
        <w:t xml:space="preserve"> «</w:t>
      </w:r>
      <w:r w:rsidR="003F7363">
        <w:rPr>
          <w:rFonts w:ascii="Times New Roman" w:hAnsi="Times New Roman"/>
          <w:sz w:val="23"/>
          <w:szCs w:val="23"/>
        </w:rPr>
        <w:t>Диагностика нефтепромысловых трубопроводов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D0742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D31DA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9C124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2F305B">
        <w:rPr>
          <w:rFonts w:ascii="Times New Roman" w:hAnsi="Times New Roman"/>
          <w:b/>
          <w:sz w:val="24"/>
        </w:rPr>
        <w:t>0</w:t>
      </w:r>
      <w:r w:rsidR="009919A7">
        <w:rPr>
          <w:rFonts w:ascii="Times New Roman" w:hAnsi="Times New Roman"/>
          <w:b/>
          <w:sz w:val="24"/>
        </w:rPr>
        <w:t>8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2F305B">
        <w:rPr>
          <w:rFonts w:ascii="Times New Roman" w:hAnsi="Times New Roman"/>
          <w:b/>
          <w:sz w:val="24"/>
        </w:rPr>
        <w:t>декабря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37CB9" w:rsidRDefault="00937CB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37CB9" w:rsidRPr="000127F9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proofErr w:type="spellStart"/>
      <w:r w:rsidR="001D49F5">
        <w:rPr>
          <w:rFonts w:ascii="Times New Roman" w:hAnsi="Times New Roman"/>
          <w:sz w:val="24"/>
        </w:rPr>
        <w:t>ОпоЭТ</w:t>
      </w:r>
      <w:proofErr w:type="spellEnd"/>
      <w:r w:rsidR="001D49F5">
        <w:rPr>
          <w:rFonts w:ascii="Times New Roman" w:hAnsi="Times New Roman"/>
          <w:sz w:val="24"/>
        </w:rPr>
        <w:t xml:space="preserve"> ДТТ</w:t>
      </w:r>
    </w:p>
    <w:p w:rsidR="00937CB9" w:rsidRPr="000127F9" w:rsidRDefault="001D49F5" w:rsidP="00937CB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Барщевский</w:t>
      </w:r>
      <w:proofErr w:type="spellEnd"/>
      <w:r>
        <w:rPr>
          <w:rFonts w:ascii="Times New Roman" w:hAnsi="Times New Roman"/>
          <w:sz w:val="24"/>
        </w:rPr>
        <w:t xml:space="preserve"> Руслан Михайлович</w:t>
      </w:r>
    </w:p>
    <w:p w:rsidR="00937CB9" w:rsidRPr="008E6225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045C5B">
        <w:rPr>
          <w:rFonts w:ascii="Times New Roman" w:hAnsi="Times New Roman"/>
          <w:sz w:val="24"/>
        </w:rPr>
        <w:t>46</w:t>
      </w:r>
      <w:r>
        <w:rPr>
          <w:rFonts w:ascii="Times New Roman" w:hAnsi="Times New Roman"/>
          <w:sz w:val="24"/>
        </w:rPr>
        <w:t>-</w:t>
      </w:r>
      <w:r w:rsidR="00045C5B">
        <w:rPr>
          <w:rFonts w:ascii="Times New Roman" w:hAnsi="Times New Roman"/>
          <w:sz w:val="24"/>
        </w:rPr>
        <w:t>105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045C5B" w:rsidRPr="00045C5B">
          <w:rPr>
            <w:rStyle w:val="aa"/>
            <w:rFonts w:ascii="Times New Roman" w:hAnsi="Times New Roman"/>
            <w:sz w:val="24"/>
          </w:rPr>
          <w:t>BarscevskiiRM@mng.slavneft.ru</w:t>
        </w:r>
      </w:hyperlink>
      <w:r>
        <w:rPr>
          <w:rFonts w:ascii="Times New Roman" w:hAnsi="Times New Roman"/>
          <w:sz w:val="24"/>
        </w:rPr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353A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Посохин Валерий Андреевич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A339C5">
        <w:rPr>
          <w:rFonts w:ascii="Times New Roman" w:hAnsi="Times New Roman"/>
          <w:sz w:val="24"/>
          <w:szCs w:val="24"/>
        </w:rPr>
        <w:t>47</w:t>
      </w:r>
      <w:r w:rsidR="006A22A4" w:rsidRPr="006A22A4">
        <w:rPr>
          <w:rFonts w:ascii="Times New Roman" w:hAnsi="Times New Roman"/>
          <w:sz w:val="24"/>
          <w:szCs w:val="24"/>
        </w:rPr>
        <w:t>-</w:t>
      </w:r>
      <w:r w:rsidR="00A339C5">
        <w:rPr>
          <w:rFonts w:ascii="Times New Roman" w:hAnsi="Times New Roman"/>
          <w:sz w:val="24"/>
          <w:szCs w:val="24"/>
        </w:rPr>
        <w:t>856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53AF" w:rsidRPr="007353AF">
        <w:rPr>
          <w:rStyle w:val="aa"/>
          <w:rFonts w:ascii="Times New Roman" w:eastAsia="Times New Roman" w:hAnsi="Times New Roman"/>
          <w:sz w:val="24"/>
          <w:szCs w:val="24"/>
        </w:rPr>
        <w:t>PosohinVA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@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mng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slavneft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44DFC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5C5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45C5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45C5B" w:rsidRDefault="00A339C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</w:t>
      </w:r>
      <w:r w:rsidR="00045C5B" w:rsidRPr="00045C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тел. (34643) 46-</w:t>
      </w:r>
      <w:r w:rsidR="00A339C5">
        <w:rPr>
          <w:rFonts w:ascii="Times New Roman" w:hAnsi="Times New Roman"/>
          <w:sz w:val="24"/>
        </w:rPr>
        <w:t>021</w:t>
      </w:r>
      <w:r w:rsidRPr="00045C5B">
        <w:rPr>
          <w:rFonts w:ascii="Times New Roman" w:hAnsi="Times New Roman"/>
          <w:sz w:val="24"/>
        </w:rPr>
        <w:t xml:space="preserve">, </w:t>
      </w:r>
      <w:hyperlink r:id="rId10" w:history="1">
        <w:r w:rsidRPr="00045C5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5C5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F305B" w:rsidRDefault="002F30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F305B" w:rsidRDefault="002F30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F305B" w:rsidRDefault="002F30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F305B" w:rsidRDefault="002F30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F305B" w:rsidRDefault="002F30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9793B">
      <w:pPr>
        <w:spacing w:before="0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4750" w:rsidRPr="007A4750" w:rsidRDefault="007A47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045C5B">
        <w:rPr>
          <w:rFonts w:ascii="Times New Roman" w:hAnsi="Times New Roman"/>
          <w:b/>
          <w:sz w:val="24"/>
        </w:rPr>
        <w:t>ПДО №</w:t>
      </w:r>
      <w:r w:rsidR="00895A8F" w:rsidRPr="00045C5B">
        <w:rPr>
          <w:rFonts w:ascii="Times New Roman" w:hAnsi="Times New Roman"/>
          <w:b/>
          <w:sz w:val="24"/>
        </w:rPr>
        <w:t xml:space="preserve"> </w:t>
      </w:r>
      <w:r w:rsidR="00A339C5">
        <w:rPr>
          <w:rFonts w:ascii="Times New Roman" w:hAnsi="Times New Roman"/>
          <w:b/>
          <w:sz w:val="24"/>
        </w:rPr>
        <w:t>865</w:t>
      </w:r>
      <w:r w:rsidR="008D6F5A" w:rsidRPr="00045C5B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2F305B">
        <w:rPr>
          <w:rFonts w:ascii="Times New Roman" w:hAnsi="Times New Roman"/>
          <w:b/>
          <w:sz w:val="24"/>
        </w:rPr>
        <w:t>2</w:t>
      </w:r>
      <w:r w:rsidR="009919A7">
        <w:rPr>
          <w:rFonts w:ascii="Times New Roman" w:hAnsi="Times New Roman"/>
          <w:b/>
          <w:sz w:val="24"/>
        </w:rPr>
        <w:t>8</w:t>
      </w:r>
      <w:r w:rsidR="002F305B">
        <w:rPr>
          <w:rFonts w:ascii="Times New Roman" w:hAnsi="Times New Roman"/>
          <w:b/>
          <w:sz w:val="24"/>
        </w:rPr>
        <w:t>.11.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договора  </w:t>
      </w:r>
      <w:r w:rsidR="00390939">
        <w:rPr>
          <w:rFonts w:ascii="Times New Roman" w:hAnsi="Times New Roman"/>
          <w:sz w:val="24"/>
        </w:rPr>
        <w:t xml:space="preserve">на </w:t>
      </w:r>
      <w:r w:rsidR="00104B56">
        <w:rPr>
          <w:rFonts w:ascii="Times New Roman" w:hAnsi="Times New Roman"/>
          <w:sz w:val="24"/>
        </w:rPr>
        <w:t>выполнение работ по внутритрубному обследованию трубопроводов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</w:t>
      </w:r>
      <w:proofErr w:type="gramEnd"/>
      <w:r w:rsidRPr="000127F9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A339C5" w:rsidRDefault="00A339C5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8442C2">
        <w:rPr>
          <w:rFonts w:ascii="Times New Roman" w:hAnsi="Times New Roman"/>
          <w:sz w:val="23"/>
          <w:szCs w:val="23"/>
        </w:rPr>
        <w:t xml:space="preserve">на </w:t>
      </w:r>
      <w:r w:rsidR="00A339C5">
        <w:rPr>
          <w:rFonts w:ascii="Times New Roman" w:hAnsi="Times New Roman"/>
          <w:sz w:val="23"/>
          <w:szCs w:val="23"/>
        </w:rPr>
        <w:t>выполнение работ по внутритрубному обследованию трубопроводов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p w:rsidR="005D45AA" w:rsidRPr="00BD5B3B" w:rsidRDefault="005D45AA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A339C5" w:rsidP="00057F4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Выполнение работ по внутритрубному обследованию трубопроводов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8224B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A339C5">
              <w:rPr>
                <w:rFonts w:ascii="Times New Roman" w:hAnsi="Times New Roman"/>
                <w:sz w:val="23"/>
                <w:szCs w:val="23"/>
              </w:rPr>
              <w:t>3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2322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D031FD" w:rsidRPr="00D031FD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3F7F92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3F7F92">
              <w:rPr>
                <w:rFonts w:ascii="Times New Roman" w:hAnsi="Times New Roman"/>
                <w:color w:val="000000"/>
                <w:sz w:val="23"/>
                <w:szCs w:val="23"/>
              </w:rPr>
              <w:t>акта оказанных услуг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CB3678" w:rsidRPr="002C3E39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</w:t>
            </w:r>
            <w:r w:rsidR="006D7CD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57F45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7E3A1D" w:rsidRDefault="00057F45" w:rsidP="00F4230D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BD5B3B" w:rsidRDefault="00057F45" w:rsidP="00F4230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2A5103" w:rsidRPr="00D031FD" w:rsidRDefault="005B0A3B" w:rsidP="00D031FD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3923E1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</w:p>
    <w:p w:rsidR="00A339C5" w:rsidRDefault="00D85647" w:rsidP="003923E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5B0A3B" w:rsidRPr="000A6477" w:rsidRDefault="005B0A3B" w:rsidP="003923E1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2F305B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2F305B">
              <w:rPr>
                <w:rFonts w:ascii="Times New Roman" w:hAnsi="Times New Roman"/>
                <w:sz w:val="24"/>
              </w:rPr>
              <w:t>407</w:t>
            </w:r>
            <w:r w:rsidRPr="000A647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919A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2F305B">
              <w:rPr>
                <w:rFonts w:ascii="Times New Roman" w:hAnsi="Times New Roman"/>
                <w:sz w:val="24"/>
              </w:rPr>
              <w:t>2</w:t>
            </w:r>
            <w:r w:rsidR="009919A7">
              <w:rPr>
                <w:rFonts w:ascii="Times New Roman" w:hAnsi="Times New Roman"/>
                <w:sz w:val="24"/>
              </w:rPr>
              <w:t>8</w:t>
            </w:r>
            <w:bookmarkStart w:id="0" w:name="_GoBack"/>
            <w:bookmarkEnd w:id="0"/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2F305B">
              <w:rPr>
                <w:rFonts w:ascii="Times New Roman" w:hAnsi="Times New Roman"/>
                <w:sz w:val="24"/>
              </w:rPr>
              <w:t>11</w:t>
            </w:r>
            <w:r w:rsidRPr="000A6477">
              <w:rPr>
                <w:rFonts w:ascii="Times New Roman" w:hAnsi="Times New Roman"/>
                <w:sz w:val="24"/>
              </w:rPr>
              <w:t>____  __</w:t>
            </w:r>
            <w:r w:rsidR="002F305B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3B352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</w:t>
      </w:r>
      <w:r w:rsidR="003923E1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: </w:t>
      </w:r>
      <w:r w:rsidR="00A339C5">
        <w:rPr>
          <w:rFonts w:ascii="Times New Roman" w:hAnsi="Times New Roman"/>
          <w:sz w:val="23"/>
          <w:szCs w:val="23"/>
        </w:rPr>
        <w:t>Выполнение работ по внутритрубному обследованию трубопроводов</w:t>
      </w:r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A339C5">
        <w:rPr>
          <w:rFonts w:ascii="Times New Roman" w:hAnsi="Times New Roman"/>
          <w:sz w:val="24"/>
        </w:rPr>
        <w:t>3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196507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Заказчик  обязуется осуществить оплату выполненных Работ в течение 90 (девяноста), но не ранее 60 (шестидесяти) дней </w:t>
      </w:r>
      <w:proofErr w:type="gramStart"/>
      <w:r w:rsidRPr="006D7CD3">
        <w:rPr>
          <w:rFonts w:ascii="Times New Roman" w:hAnsi="Times New Roman"/>
          <w:sz w:val="24"/>
        </w:rPr>
        <w:t>с даты получения</w:t>
      </w:r>
      <w:proofErr w:type="gramEnd"/>
      <w:r w:rsidRPr="006D7CD3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а) </w:t>
      </w:r>
      <w:r w:rsidR="003923E1">
        <w:rPr>
          <w:rFonts w:ascii="Times New Roman" w:hAnsi="Times New Roman"/>
          <w:sz w:val="24"/>
        </w:rPr>
        <w:t>Акта оказанных услуг</w:t>
      </w:r>
      <w:r w:rsidRPr="006D7CD3">
        <w:rPr>
          <w:rFonts w:ascii="Times New Roman" w:hAnsi="Times New Roman"/>
          <w:sz w:val="24"/>
        </w:rPr>
        <w:t>;</w:t>
      </w:r>
    </w:p>
    <w:p w:rsid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 xml:space="preserve">в </w:t>
      </w:r>
      <w:r w:rsidR="00764C0E" w:rsidRPr="000A6477">
        <w:rPr>
          <w:iCs/>
        </w:rPr>
        <w:t>«</w:t>
      </w:r>
      <w:r w:rsidR="00764C0E" w:rsidRPr="000A6477">
        <w:rPr>
          <w:b/>
          <w:iCs/>
        </w:rPr>
        <w:t>Техническо</w:t>
      </w:r>
      <w:r w:rsidR="003923E1">
        <w:rPr>
          <w:b/>
          <w:iCs/>
        </w:rPr>
        <w:t>м</w:t>
      </w:r>
      <w:r w:rsidR="00764C0E" w:rsidRPr="000A6477">
        <w:rPr>
          <w:b/>
          <w:iCs/>
        </w:rPr>
        <w:t xml:space="preserve"> задани</w:t>
      </w:r>
      <w:r w:rsidR="003923E1">
        <w:rPr>
          <w:b/>
          <w:iCs/>
        </w:rPr>
        <w:t>и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</w:t>
      </w:r>
      <w:r w:rsidR="003923E1">
        <w:rPr>
          <w:iCs/>
        </w:rPr>
        <w:t>Приложение №1 к Форме 5</w:t>
      </w:r>
      <w:r w:rsidR="00764C0E" w:rsidRPr="00124AA3">
        <w:rPr>
          <w:iCs/>
        </w:rPr>
        <w:t>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>Ос</w:t>
      </w:r>
      <w:r w:rsidR="009E25AA">
        <w:rPr>
          <w:b/>
        </w:rPr>
        <w:t>новные требования к Претенденту:</w:t>
      </w:r>
      <w:r w:rsidRPr="000A6477">
        <w:rPr>
          <w:b/>
        </w:rPr>
        <w:t xml:space="preserve"> </w:t>
      </w:r>
    </w:p>
    <w:p w:rsidR="00B05352" w:rsidRPr="008D5E0A" w:rsidRDefault="005A45A5" w:rsidP="0077740F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A339C5">
        <w:rPr>
          <w:rFonts w:ascii="Times New Roman" w:hAnsi="Times New Roman"/>
          <w:sz w:val="24"/>
        </w:rPr>
        <w:t>1408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A339C5">
        <w:rPr>
          <w:rFonts w:ascii="Times New Roman" w:hAnsi="Times New Roman"/>
          <w:sz w:val="23"/>
          <w:szCs w:val="23"/>
          <w:u w:val="single"/>
        </w:rPr>
        <w:t>Внутритрубная диагностика нефтепромысловых трубопроводов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927E8C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A339C5">
        <w:rPr>
          <w:rFonts w:ascii="Times New Roman" w:hAnsi="Times New Roman"/>
          <w:sz w:val="24"/>
        </w:rPr>
        <w:t>1408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A339C5">
        <w:rPr>
          <w:rFonts w:ascii="Times New Roman" w:hAnsi="Times New Roman"/>
          <w:sz w:val="23"/>
          <w:szCs w:val="23"/>
          <w:u w:val="single"/>
        </w:rPr>
        <w:t>Внутритрубная диагностика нефтепромысловых трубопроводов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6C97" w:rsidRPr="003D6C97" w:rsidRDefault="003D6C97" w:rsidP="00104B56">
      <w:pPr>
        <w:pStyle w:val="ab"/>
        <w:numPr>
          <w:ilvl w:val="0"/>
          <w:numId w:val="11"/>
        </w:numPr>
        <w:spacing w:line="290" w:lineRule="auto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 –  </w:t>
      </w:r>
      <w:r w:rsidR="00104B56" w:rsidRPr="00104B56">
        <w:rPr>
          <w:rFonts w:ascii="Times New Roman" w:hAnsi="Times New Roman"/>
          <w:sz w:val="24"/>
        </w:rPr>
        <w:t xml:space="preserve">Положение  контрольно-пропускных  </w:t>
      </w:r>
      <w:proofErr w:type="gramStart"/>
      <w:r w:rsidR="00104B56" w:rsidRPr="00104B56">
        <w:rPr>
          <w:rFonts w:ascii="Times New Roman" w:hAnsi="Times New Roman"/>
          <w:sz w:val="24"/>
        </w:rPr>
        <w:t>пунктах</w:t>
      </w:r>
      <w:proofErr w:type="gramEnd"/>
      <w:r w:rsidR="00104B56" w:rsidRPr="00104B56">
        <w:rPr>
          <w:rFonts w:ascii="Times New Roman" w:hAnsi="Times New Roman"/>
          <w:sz w:val="24"/>
        </w:rPr>
        <w:t xml:space="preserve"> открытого акционерного общества «</w:t>
      </w:r>
      <w:proofErr w:type="spellStart"/>
      <w:r w:rsidR="00104B56" w:rsidRPr="00104B56">
        <w:rPr>
          <w:rFonts w:ascii="Times New Roman" w:hAnsi="Times New Roman"/>
          <w:sz w:val="24"/>
        </w:rPr>
        <w:t>Славнефть</w:t>
      </w:r>
      <w:proofErr w:type="spellEnd"/>
      <w:r w:rsidR="00104B56" w:rsidRPr="00104B56">
        <w:rPr>
          <w:rFonts w:ascii="Times New Roman" w:hAnsi="Times New Roman"/>
          <w:sz w:val="24"/>
        </w:rPr>
        <w:t>-Мегионнефтегаз»;</w:t>
      </w:r>
    </w:p>
    <w:p w:rsidR="003D6C97" w:rsidRPr="003D6C97" w:rsidRDefault="00104B56" w:rsidP="00104B56">
      <w:pPr>
        <w:pStyle w:val="ab"/>
        <w:numPr>
          <w:ilvl w:val="0"/>
          <w:numId w:val="11"/>
        </w:numPr>
        <w:spacing w:line="29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3D6C9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 w:rsidRPr="00104B56">
        <w:rPr>
          <w:rFonts w:ascii="Times New Roman" w:hAnsi="Times New Roman"/>
          <w:sz w:val="24"/>
        </w:rPr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104B56">
        <w:rPr>
          <w:rFonts w:ascii="Times New Roman" w:hAnsi="Times New Roman"/>
          <w:sz w:val="24"/>
        </w:rPr>
        <w:t>Славнефть</w:t>
      </w:r>
      <w:proofErr w:type="spellEnd"/>
      <w:r w:rsidRPr="00104B5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3D6C97" w:rsidRPr="003D6C97" w:rsidRDefault="003D6C97" w:rsidP="00104B56">
      <w:pPr>
        <w:pStyle w:val="ab"/>
        <w:numPr>
          <w:ilvl w:val="0"/>
          <w:numId w:val="11"/>
        </w:numPr>
        <w:spacing w:line="290" w:lineRule="auto"/>
        <w:ind w:right="-2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–  </w:t>
      </w:r>
      <w:r w:rsidR="00104B56" w:rsidRPr="00104B56">
        <w:rPr>
          <w:rFonts w:ascii="Times New Roman" w:hAnsi="Times New Roman"/>
          <w:sz w:val="24"/>
        </w:rPr>
        <w:t>Стандарт «Транспортная безопасность в Открытом акционерном обществе «</w:t>
      </w:r>
      <w:proofErr w:type="spellStart"/>
      <w:r w:rsidR="00104B56" w:rsidRPr="00104B56">
        <w:rPr>
          <w:rFonts w:ascii="Times New Roman" w:hAnsi="Times New Roman"/>
          <w:sz w:val="24"/>
        </w:rPr>
        <w:t>Славнефть</w:t>
      </w:r>
      <w:proofErr w:type="spellEnd"/>
      <w:r w:rsidR="00104B56" w:rsidRPr="00104B56">
        <w:rPr>
          <w:rFonts w:ascii="Times New Roman" w:hAnsi="Times New Roman"/>
          <w:sz w:val="24"/>
        </w:rPr>
        <w:t>-Мегионнефтегаз» СТБ 034-2012</w:t>
      </w:r>
    </w:p>
    <w:p w:rsidR="003D6C97" w:rsidRPr="003D6C97" w:rsidRDefault="00104B56" w:rsidP="00104B56">
      <w:pPr>
        <w:pStyle w:val="ab"/>
        <w:numPr>
          <w:ilvl w:val="0"/>
          <w:numId w:val="11"/>
        </w:numPr>
        <w:spacing w:line="290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3D6C97">
        <w:rPr>
          <w:rFonts w:ascii="Times New Roman" w:hAnsi="Times New Roman"/>
          <w:sz w:val="24"/>
        </w:rPr>
        <w:t xml:space="preserve">–  </w:t>
      </w:r>
      <w:r>
        <w:rPr>
          <w:rFonts w:ascii="Times New Roman" w:hAnsi="Times New Roman"/>
          <w:sz w:val="24"/>
        </w:rPr>
        <w:t xml:space="preserve"> </w:t>
      </w:r>
      <w:r w:rsidRPr="00104B56">
        <w:rPr>
          <w:rFonts w:ascii="Times New Roman" w:hAnsi="Times New Roman"/>
          <w:sz w:val="24"/>
        </w:rPr>
        <w:t>Процедура «Контроль употребления алкоголя, наркотических и токсических веществ»;</w:t>
      </w:r>
    </w:p>
    <w:p w:rsidR="007B61E9" w:rsidRPr="00F97294" w:rsidRDefault="00993FAE" w:rsidP="00993FAE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</w:t>
      </w:r>
      <w:r w:rsidR="007B61E9"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0A6477">
        <w:rPr>
          <w:rFonts w:ascii="Times New Roman" w:hAnsi="Times New Roman"/>
          <w:sz w:val="24"/>
        </w:rPr>
        <w:t>контроль за</w:t>
      </w:r>
      <w:proofErr w:type="gramEnd"/>
      <w:r w:rsidR="007B61E9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F305B" w:rsidRDefault="002F305B" w:rsidP="000127F9">
      <w:pPr>
        <w:jc w:val="both"/>
        <w:rPr>
          <w:rFonts w:ascii="Times New Roman" w:hAnsi="Times New Roman"/>
          <w:sz w:val="24"/>
        </w:rPr>
      </w:pPr>
    </w:p>
    <w:p w:rsidR="002F305B" w:rsidRPr="000127F9" w:rsidRDefault="002F305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93FAE" w:rsidRPr="000127F9" w:rsidRDefault="00993FAE" w:rsidP="000127F9">
      <w:pPr>
        <w:jc w:val="both"/>
        <w:rPr>
          <w:rFonts w:ascii="Times New Roman" w:hAnsi="Times New Roman"/>
          <w:sz w:val="24"/>
        </w:rPr>
      </w:pPr>
    </w:p>
    <w:p w:rsidR="003D6C97" w:rsidRDefault="003D6C97" w:rsidP="003D6C97">
      <w:pPr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7B658C" w:rsidRPr="002F305B" w:rsidRDefault="007B65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7A1" w:rsidRDefault="00D207A1">
      <w:pPr>
        <w:spacing w:before="0"/>
      </w:pPr>
      <w:r>
        <w:separator/>
      </w:r>
    </w:p>
  </w:endnote>
  <w:endnote w:type="continuationSeparator" w:id="0">
    <w:p w:rsidR="00D207A1" w:rsidRDefault="00D207A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7A1" w:rsidRDefault="00D207A1">
      <w:pPr>
        <w:spacing w:before="0"/>
      </w:pPr>
      <w:r>
        <w:separator/>
      </w:r>
    </w:p>
  </w:footnote>
  <w:footnote w:type="continuationSeparator" w:id="0">
    <w:p w:rsidR="00D207A1" w:rsidRDefault="00D207A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207A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063D4"/>
    <w:rsid w:val="00010BA4"/>
    <w:rsid w:val="000127F9"/>
    <w:rsid w:val="0004530B"/>
    <w:rsid w:val="00045C5B"/>
    <w:rsid w:val="00052322"/>
    <w:rsid w:val="00057F45"/>
    <w:rsid w:val="00064B61"/>
    <w:rsid w:val="000957C3"/>
    <w:rsid w:val="000968F5"/>
    <w:rsid w:val="0009793B"/>
    <w:rsid w:val="000A4516"/>
    <w:rsid w:val="000A6477"/>
    <w:rsid w:val="000B2601"/>
    <w:rsid w:val="000C09D2"/>
    <w:rsid w:val="000F6EAA"/>
    <w:rsid w:val="0010000F"/>
    <w:rsid w:val="00100181"/>
    <w:rsid w:val="00103857"/>
    <w:rsid w:val="00104B56"/>
    <w:rsid w:val="00110472"/>
    <w:rsid w:val="001104B7"/>
    <w:rsid w:val="00114646"/>
    <w:rsid w:val="00123124"/>
    <w:rsid w:val="001242E4"/>
    <w:rsid w:val="00157EA4"/>
    <w:rsid w:val="00163391"/>
    <w:rsid w:val="00185706"/>
    <w:rsid w:val="0018713E"/>
    <w:rsid w:val="001876F4"/>
    <w:rsid w:val="00195D98"/>
    <w:rsid w:val="00196507"/>
    <w:rsid w:val="001A2DF9"/>
    <w:rsid w:val="001A3589"/>
    <w:rsid w:val="001A39DE"/>
    <w:rsid w:val="001B6D6E"/>
    <w:rsid w:val="001C6CC4"/>
    <w:rsid w:val="001C7C15"/>
    <w:rsid w:val="001D49F5"/>
    <w:rsid w:val="001E2A1A"/>
    <w:rsid w:val="001E5DC7"/>
    <w:rsid w:val="001F2ABA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305B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0939"/>
    <w:rsid w:val="003923E1"/>
    <w:rsid w:val="00393143"/>
    <w:rsid w:val="003A27C5"/>
    <w:rsid w:val="003A2B78"/>
    <w:rsid w:val="003A492B"/>
    <w:rsid w:val="003B3524"/>
    <w:rsid w:val="003D03ED"/>
    <w:rsid w:val="003D5CCC"/>
    <w:rsid w:val="003D6C97"/>
    <w:rsid w:val="003E624E"/>
    <w:rsid w:val="003F0E64"/>
    <w:rsid w:val="003F1714"/>
    <w:rsid w:val="003F7363"/>
    <w:rsid w:val="003F7F92"/>
    <w:rsid w:val="00403CA5"/>
    <w:rsid w:val="00404678"/>
    <w:rsid w:val="00414738"/>
    <w:rsid w:val="00433159"/>
    <w:rsid w:val="004341CF"/>
    <w:rsid w:val="004350C2"/>
    <w:rsid w:val="00446441"/>
    <w:rsid w:val="00475586"/>
    <w:rsid w:val="00487D2E"/>
    <w:rsid w:val="004902A4"/>
    <w:rsid w:val="00497F42"/>
    <w:rsid w:val="004A7B31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5AA"/>
    <w:rsid w:val="005D48F3"/>
    <w:rsid w:val="005D5FE0"/>
    <w:rsid w:val="005F69BD"/>
    <w:rsid w:val="005F7876"/>
    <w:rsid w:val="006150ED"/>
    <w:rsid w:val="00634093"/>
    <w:rsid w:val="00637924"/>
    <w:rsid w:val="00641DFB"/>
    <w:rsid w:val="00643A99"/>
    <w:rsid w:val="006575C1"/>
    <w:rsid w:val="00692B1B"/>
    <w:rsid w:val="006A22A4"/>
    <w:rsid w:val="006B0867"/>
    <w:rsid w:val="006D7CD3"/>
    <w:rsid w:val="006F47E3"/>
    <w:rsid w:val="007049F9"/>
    <w:rsid w:val="00712284"/>
    <w:rsid w:val="007144D1"/>
    <w:rsid w:val="0071550D"/>
    <w:rsid w:val="007353AF"/>
    <w:rsid w:val="00736D94"/>
    <w:rsid w:val="00751C1C"/>
    <w:rsid w:val="0075491C"/>
    <w:rsid w:val="00754F58"/>
    <w:rsid w:val="00764C0E"/>
    <w:rsid w:val="00771512"/>
    <w:rsid w:val="0077740F"/>
    <w:rsid w:val="00781935"/>
    <w:rsid w:val="00795E45"/>
    <w:rsid w:val="007A135E"/>
    <w:rsid w:val="007A4750"/>
    <w:rsid w:val="007A5ECD"/>
    <w:rsid w:val="007B61E9"/>
    <w:rsid w:val="007B658C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24B7"/>
    <w:rsid w:val="00826247"/>
    <w:rsid w:val="008318C3"/>
    <w:rsid w:val="0083369E"/>
    <w:rsid w:val="00837416"/>
    <w:rsid w:val="008442C2"/>
    <w:rsid w:val="00845AEF"/>
    <w:rsid w:val="008534B1"/>
    <w:rsid w:val="00856B04"/>
    <w:rsid w:val="008671C1"/>
    <w:rsid w:val="00871AE9"/>
    <w:rsid w:val="00875B06"/>
    <w:rsid w:val="00877B60"/>
    <w:rsid w:val="00883673"/>
    <w:rsid w:val="00890111"/>
    <w:rsid w:val="00895A8F"/>
    <w:rsid w:val="008B5511"/>
    <w:rsid w:val="008B7DCC"/>
    <w:rsid w:val="008D4F06"/>
    <w:rsid w:val="008D5E0A"/>
    <w:rsid w:val="008D6B25"/>
    <w:rsid w:val="008D6F5A"/>
    <w:rsid w:val="008D71B1"/>
    <w:rsid w:val="008E3006"/>
    <w:rsid w:val="008F0CE3"/>
    <w:rsid w:val="008F2B4A"/>
    <w:rsid w:val="008F2E0E"/>
    <w:rsid w:val="009017D5"/>
    <w:rsid w:val="00902DA1"/>
    <w:rsid w:val="0092380D"/>
    <w:rsid w:val="009258E2"/>
    <w:rsid w:val="00927E8C"/>
    <w:rsid w:val="00937663"/>
    <w:rsid w:val="00937CB9"/>
    <w:rsid w:val="00942AC3"/>
    <w:rsid w:val="00944DFC"/>
    <w:rsid w:val="0096095C"/>
    <w:rsid w:val="00963D7F"/>
    <w:rsid w:val="0097372B"/>
    <w:rsid w:val="00981FD5"/>
    <w:rsid w:val="009821F1"/>
    <w:rsid w:val="009919A7"/>
    <w:rsid w:val="00993FAE"/>
    <w:rsid w:val="00996D20"/>
    <w:rsid w:val="009A35A4"/>
    <w:rsid w:val="009C1246"/>
    <w:rsid w:val="009C7108"/>
    <w:rsid w:val="009C792D"/>
    <w:rsid w:val="009D0283"/>
    <w:rsid w:val="009E25AA"/>
    <w:rsid w:val="009F0515"/>
    <w:rsid w:val="00A16425"/>
    <w:rsid w:val="00A339C5"/>
    <w:rsid w:val="00A43B77"/>
    <w:rsid w:val="00A44017"/>
    <w:rsid w:val="00A479EE"/>
    <w:rsid w:val="00A550A9"/>
    <w:rsid w:val="00A56F81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914C5"/>
    <w:rsid w:val="00AA5A52"/>
    <w:rsid w:val="00AA7478"/>
    <w:rsid w:val="00AB12F9"/>
    <w:rsid w:val="00AB163B"/>
    <w:rsid w:val="00AC0322"/>
    <w:rsid w:val="00AC0C01"/>
    <w:rsid w:val="00AC3E82"/>
    <w:rsid w:val="00AD5261"/>
    <w:rsid w:val="00AF7306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00C5"/>
    <w:rsid w:val="00BD0742"/>
    <w:rsid w:val="00BD40B8"/>
    <w:rsid w:val="00BD5B3B"/>
    <w:rsid w:val="00BE4B15"/>
    <w:rsid w:val="00BE6C37"/>
    <w:rsid w:val="00BF4C6D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9278E"/>
    <w:rsid w:val="00CA031F"/>
    <w:rsid w:val="00CA057C"/>
    <w:rsid w:val="00CA10C5"/>
    <w:rsid w:val="00CB3678"/>
    <w:rsid w:val="00CD62A3"/>
    <w:rsid w:val="00CE0D94"/>
    <w:rsid w:val="00CE14C3"/>
    <w:rsid w:val="00CE38F5"/>
    <w:rsid w:val="00D031FD"/>
    <w:rsid w:val="00D15D06"/>
    <w:rsid w:val="00D207A1"/>
    <w:rsid w:val="00D218D8"/>
    <w:rsid w:val="00D31DA3"/>
    <w:rsid w:val="00D55663"/>
    <w:rsid w:val="00D55AFF"/>
    <w:rsid w:val="00D57732"/>
    <w:rsid w:val="00D75F29"/>
    <w:rsid w:val="00D82E16"/>
    <w:rsid w:val="00D85647"/>
    <w:rsid w:val="00D92DED"/>
    <w:rsid w:val="00D946EF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56069"/>
    <w:rsid w:val="00E63543"/>
    <w:rsid w:val="00E66ED8"/>
    <w:rsid w:val="00E67D0A"/>
    <w:rsid w:val="00E96D84"/>
    <w:rsid w:val="00EA0059"/>
    <w:rsid w:val="00EA211E"/>
    <w:rsid w:val="00EA2C02"/>
    <w:rsid w:val="00EA7411"/>
    <w:rsid w:val="00EB30F3"/>
    <w:rsid w:val="00EB4248"/>
    <w:rsid w:val="00EC3798"/>
    <w:rsid w:val="00EC5D33"/>
    <w:rsid w:val="00ED3854"/>
    <w:rsid w:val="00EF7057"/>
    <w:rsid w:val="00F00D7B"/>
    <w:rsid w:val="00F024FC"/>
    <w:rsid w:val="00F0465D"/>
    <w:rsid w:val="00F24DB3"/>
    <w:rsid w:val="00F24F77"/>
    <w:rsid w:val="00F3476B"/>
    <w:rsid w:val="00F52024"/>
    <w:rsid w:val="00F52E67"/>
    <w:rsid w:val="00F878A6"/>
    <w:rsid w:val="00F96438"/>
    <w:rsid w:val="00F96C0B"/>
    <w:rsid w:val="00F97294"/>
    <w:rsid w:val="00FA01FC"/>
    <w:rsid w:val="00FA096D"/>
    <w:rsid w:val="00FA4751"/>
    <w:rsid w:val="00FB1D99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rscevskiiRM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BD3F2-BEF3-45FF-B6A7-5C48953B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2428</Words>
  <Characters>13841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11</cp:revision>
  <cp:lastPrinted>2014-10-20T08:34:00Z</cp:lastPrinted>
  <dcterms:created xsi:type="dcterms:W3CDTF">2014-10-01T11:27:00Z</dcterms:created>
  <dcterms:modified xsi:type="dcterms:W3CDTF">2014-11-28T03:59:00Z</dcterms:modified>
</cp:coreProperties>
</file>