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8B" w:rsidRPr="00E61C8B" w:rsidRDefault="00E61C8B" w:rsidP="00AA360B">
      <w:pPr>
        <w:spacing w:line="276" w:lineRule="auto"/>
        <w:jc w:val="right"/>
        <w:rPr>
          <w:rFonts w:eastAsia="Calibri"/>
          <w:lang w:eastAsia="en-US"/>
        </w:rPr>
      </w:pPr>
      <w:r w:rsidRPr="00E61C8B">
        <w:rPr>
          <w:rFonts w:eastAsia="Calibri"/>
          <w:lang w:eastAsia="en-US"/>
        </w:rPr>
        <w:t>Приложение №11</w:t>
      </w:r>
    </w:p>
    <w:p w:rsidR="00E61C8B" w:rsidRDefault="00E61C8B" w:rsidP="00AA360B">
      <w:pPr>
        <w:spacing w:line="276" w:lineRule="auto"/>
        <w:jc w:val="right"/>
      </w:pPr>
      <w:r w:rsidRPr="00E61C8B">
        <w:rPr>
          <w:rFonts w:eastAsia="Calibri"/>
          <w:lang w:eastAsia="en-US"/>
        </w:rPr>
        <w:t xml:space="preserve">к договору № </w:t>
      </w:r>
      <w:r w:rsidRPr="00E61C8B">
        <w:t xml:space="preserve">«» </w:t>
      </w:r>
    </w:p>
    <w:p w:rsidR="00AA360B" w:rsidRPr="00E61C8B" w:rsidRDefault="00AA360B" w:rsidP="00AA360B">
      <w:pPr>
        <w:spacing w:line="276" w:lineRule="auto"/>
        <w:jc w:val="right"/>
        <w:rPr>
          <w:rFonts w:eastAsia="Calibri"/>
          <w:lang w:eastAsia="en-US"/>
        </w:rPr>
      </w:pPr>
    </w:p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 для </w:t>
      </w:r>
      <w:r w:rsidR="00C20713">
        <w:rPr>
          <w:rFonts w:ascii="Times New Roman" w:hAnsi="Times New Roman"/>
          <w:sz w:val="28"/>
          <w:szCs w:val="24"/>
        </w:rPr>
        <w:t>выполнения работ</w:t>
      </w:r>
      <w:r w:rsidRPr="00015CA3">
        <w:rPr>
          <w:rFonts w:ascii="Times New Roman" w:hAnsi="Times New Roman"/>
          <w:sz w:val="28"/>
          <w:szCs w:val="24"/>
        </w:rPr>
        <w:t xml:space="preserve"> по </w:t>
      </w:r>
      <w:r w:rsidR="00CD18AA">
        <w:rPr>
          <w:rFonts w:ascii="Times New Roman" w:hAnsi="Times New Roman"/>
          <w:sz w:val="28"/>
          <w:szCs w:val="24"/>
        </w:rPr>
        <w:t xml:space="preserve">освоению скважин струйными насосами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8E404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CD18AA">
        <w:t xml:space="preserve">Освоение скважин струйными насосами </w:t>
      </w:r>
      <w:r w:rsidR="008436E5" w:rsidRPr="008E404F">
        <w:rPr>
          <w:b/>
        </w:rPr>
        <w:t>с</w:t>
      </w:r>
      <w:r w:rsidR="00362631" w:rsidRPr="008E404F">
        <w:rPr>
          <w:b/>
        </w:rPr>
        <w:t xml:space="preserve"> комплексом</w:t>
      </w:r>
      <w:r w:rsidR="008436E5" w:rsidRPr="008E404F">
        <w:rPr>
          <w:b/>
        </w:rPr>
        <w:t xml:space="preserve"> гидродинамически</w:t>
      </w:r>
      <w:r w:rsidR="00362631" w:rsidRPr="008E404F">
        <w:rPr>
          <w:b/>
        </w:rPr>
        <w:t>х</w:t>
      </w:r>
      <w:r w:rsidR="008436E5" w:rsidRPr="008E404F">
        <w:rPr>
          <w:b/>
        </w:rPr>
        <w:t xml:space="preserve"> исследовани</w:t>
      </w:r>
      <w:r w:rsidR="00362631" w:rsidRPr="008E404F">
        <w:rPr>
          <w:b/>
        </w:rPr>
        <w:t>й</w:t>
      </w:r>
      <w:r w:rsidR="008436E5" w:rsidRPr="008E404F">
        <w:rPr>
          <w:b/>
        </w:rPr>
        <w:t xml:space="preserve"> </w:t>
      </w:r>
      <w:r w:rsidRPr="008E404F">
        <w:t>на лицензионных участках О</w:t>
      </w:r>
      <w:r w:rsidR="00DE3B10" w:rsidRPr="008E404F">
        <w:t>ткрытого Акционерного Общества</w:t>
      </w:r>
      <w:r w:rsidRPr="008E404F">
        <w:t xml:space="preserve"> «Славнефть-Мегионнефтегаз» (Далее ОАО «СН-МНГ») в 20</w:t>
      </w:r>
      <w:r w:rsidR="00AD2F1F">
        <w:t>16</w:t>
      </w:r>
      <w:r w:rsidRPr="008E404F">
        <w:t xml:space="preserve"> году.</w:t>
      </w:r>
    </w:p>
    <w:p w:rsidR="00F605D4" w:rsidRPr="008E404F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Работы </w:t>
      </w:r>
      <w:r w:rsidR="00F605D4" w:rsidRPr="008E404F">
        <w:t xml:space="preserve">производятся </w:t>
      </w:r>
      <w:r w:rsidR="00CD18AA" w:rsidRPr="008E404F">
        <w:t>на нефтяных</w:t>
      </w:r>
      <w:r w:rsidR="008436E5" w:rsidRPr="008E404F">
        <w:t xml:space="preserve">, </w:t>
      </w:r>
      <w:r w:rsidR="008436E5" w:rsidRPr="008E404F">
        <w:rPr>
          <w:b/>
        </w:rPr>
        <w:t>нагнетательных</w:t>
      </w:r>
      <w:r w:rsidR="00CD18AA" w:rsidRPr="008E404F">
        <w:t xml:space="preserve"> </w:t>
      </w:r>
      <w:r w:rsidR="00F605D4" w:rsidRPr="008E404F">
        <w:t>скважинах.</w:t>
      </w:r>
    </w:p>
    <w:p w:rsidR="004B20C3" w:rsidRPr="008E404F" w:rsidRDefault="008B1FD7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Тендерный</w:t>
      </w:r>
      <w:r w:rsidR="004B20C3" w:rsidRPr="008E404F">
        <w:t xml:space="preserve"> отбор проводится с целью определения возможностей каждого</w:t>
      </w:r>
      <w:r w:rsidR="007543F9" w:rsidRPr="008E404F">
        <w:t xml:space="preserve"> потенциального претендента</w:t>
      </w:r>
      <w:r w:rsidR="004B20C3" w:rsidRPr="008E404F">
        <w:t>.</w:t>
      </w:r>
    </w:p>
    <w:p w:rsidR="00F605D4" w:rsidRPr="008E404F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Описание объекта оказания услуг</w:t>
      </w:r>
    </w:p>
    <w:p w:rsidR="00F605D4" w:rsidRPr="008E404F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Объекты ОАО «СН-МНГ» </w:t>
      </w:r>
      <w:r w:rsidR="00F605D4" w:rsidRPr="008E404F">
        <w:t xml:space="preserve">в административном отношении находятся на территории Тюменской </w:t>
      </w:r>
      <w:r w:rsidR="00F7381D" w:rsidRPr="008E404F">
        <w:t xml:space="preserve">области </w:t>
      </w:r>
      <w:r w:rsidR="00F605D4" w:rsidRPr="008E404F">
        <w:t>(Нижневартовский</w:t>
      </w:r>
      <w:r w:rsidR="00F7381D" w:rsidRPr="008E404F">
        <w:t xml:space="preserve"> и  Сургутский район)</w:t>
      </w:r>
      <w:r w:rsidR="00DE3B10" w:rsidRPr="008E404F">
        <w:t xml:space="preserve"> и Томской области</w:t>
      </w:r>
      <w:r w:rsidR="00F605D4" w:rsidRPr="008E404F">
        <w:t xml:space="preserve">. </w:t>
      </w:r>
    </w:p>
    <w:p w:rsidR="00F605D4" w:rsidRPr="008E404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Усредненное расстояние</w:t>
      </w:r>
      <w:r w:rsidR="000A751E" w:rsidRPr="008E404F">
        <w:t xml:space="preserve"> от г. Мегиона до месторождений:</w:t>
      </w:r>
    </w:p>
    <w:p w:rsidR="003B45F6" w:rsidRPr="008E404F" w:rsidRDefault="003B45F6" w:rsidP="00015CA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8E404F" w:rsidRPr="008E404F" w:rsidTr="00976B53">
        <w:tc>
          <w:tcPr>
            <w:tcW w:w="4732" w:type="dxa"/>
            <w:shd w:val="clear" w:color="auto" w:fill="auto"/>
          </w:tcPr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  <w:r w:rsidRPr="008E404F">
              <w:rPr>
                <w:b/>
              </w:rPr>
              <w:t>Объекты Аганского НГДУ: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Мегионский ЛУ – 30км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Аганский ЛУ</w:t>
            </w:r>
            <w:r w:rsidRPr="008E404F">
              <w:tab/>
              <w:t>- 50км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Южно-Аганский ЛУ – 35км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Ново-Покурский ЛУ- 152км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Южно-Покамасовский ЛУ – 110км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Покамасовский ЛУ – 110км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Северо-Островной ЛУ – 171км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Южно-Локосовский ЛУ – 194км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Мыхпайский ЛУ – 27км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Кетовский ЛУ – 169км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Южно-Островной ЛУ – 171км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Западно-Усть-Балыкский Л – 274км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Ачимовский ЛУ – 282км</w:t>
            </w:r>
            <w:r w:rsidR="00362631" w:rsidRPr="008E404F">
              <w:t xml:space="preserve"> (автоном.)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Чистинный ЛУ – 324км</w:t>
            </w:r>
            <w:r w:rsidR="00362631" w:rsidRPr="008E404F">
              <w:t xml:space="preserve"> (автоном.)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Западно-Асомкинский ЛУ – 310км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Северо-Асомкинский ЛУ – 310км</w:t>
            </w:r>
          </w:p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8E404F" w:rsidRDefault="003B45F6" w:rsidP="00015CA3">
            <w:pPr>
              <w:spacing w:line="276" w:lineRule="auto"/>
              <w:ind w:hanging="20"/>
              <w:jc w:val="both"/>
              <w:rPr>
                <w:b/>
              </w:rPr>
            </w:pPr>
            <w:r w:rsidRPr="008E404F">
              <w:rPr>
                <w:b/>
              </w:rPr>
              <w:t>Объекты Ватинского НГДУ: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Мегионский ЛУ (КП 218-221) – 27км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Ватинский ЛУ – 20км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Северо-Покурский ЛУ – 29км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Луговой ЛУ – 50км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Мыхпайский ЛУ (КП 54-55) – 27км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Северо-Ореховский ЛУ – 42км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Аригольский ЛУ –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Узунский ЛУ</w:t>
            </w:r>
            <w:r w:rsidRPr="008E404F">
              <w:tab/>
              <w:t xml:space="preserve"> - 123км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Максимкинский ЛУ</w:t>
            </w:r>
            <w:r w:rsidRPr="008E404F">
              <w:tab/>
              <w:t xml:space="preserve"> - 201км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Кысомский ЛУ – 109км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Западно-Аригольский ЛУ –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Тайлаковский ЛУ  - 452км</w:t>
            </w:r>
          </w:p>
          <w:p w:rsidR="003B45F6" w:rsidRPr="008E404F" w:rsidRDefault="003B45F6" w:rsidP="00015CA3">
            <w:pPr>
              <w:spacing w:line="276" w:lineRule="auto"/>
              <w:jc w:val="both"/>
            </w:pPr>
          </w:p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065DB" w:rsidRPr="008E404F" w:rsidRDefault="009065DB" w:rsidP="00015CA3">
      <w:pPr>
        <w:spacing w:line="276" w:lineRule="auto"/>
        <w:jc w:val="both"/>
      </w:pPr>
    </w:p>
    <w:p w:rsidR="00EE6219" w:rsidRPr="008E404F" w:rsidRDefault="00802BA9" w:rsidP="00015CA3">
      <w:pPr>
        <w:spacing w:line="276" w:lineRule="auto"/>
        <w:ind w:firstLine="709"/>
        <w:jc w:val="both"/>
      </w:pPr>
      <w:r w:rsidRPr="008E404F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8E404F">
        <w:t xml:space="preserve">, </w:t>
      </w:r>
      <w:r w:rsidRPr="008E404F">
        <w:t>в зимнее время – понтонны</w:t>
      </w:r>
      <w:r w:rsidR="00AC53E1" w:rsidRPr="008E404F">
        <w:t>е</w:t>
      </w:r>
      <w:r w:rsidRPr="008E404F">
        <w:t xml:space="preserve"> мост</w:t>
      </w:r>
      <w:r w:rsidR="00AC53E1" w:rsidRPr="008E404F">
        <w:t>ы</w:t>
      </w:r>
      <w:r w:rsidRPr="008E404F">
        <w:t>.</w:t>
      </w:r>
      <w:r w:rsidR="00AC53E1" w:rsidRPr="008E404F">
        <w:t xml:space="preserve"> Сообщение с отдаленными месторождениями в зимнее время – зимник, в летнее – вертолет.</w:t>
      </w:r>
    </w:p>
    <w:p w:rsidR="003B45F6" w:rsidRPr="008E404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lastRenderedPageBreak/>
        <w:t>Платные дороги – за счет Заказчика, за исключением участка п. Александрово – вах. пос. Пионерный.</w:t>
      </w:r>
    </w:p>
    <w:p w:rsidR="003B45F6" w:rsidRPr="008E404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8E404F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Диапазон глубин скважин составляет от 1400 до 3900 м.</w:t>
      </w:r>
    </w:p>
    <w:p w:rsidR="00802BA9" w:rsidRPr="008E404F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Вид работ, объемы работ.</w:t>
      </w:r>
    </w:p>
    <w:p w:rsidR="00756F1B" w:rsidRPr="008E404F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Вид работ: </w:t>
      </w:r>
      <w:r w:rsidR="00CD18AA" w:rsidRPr="008E404F">
        <w:t>Освоение скважин струйными насосами</w:t>
      </w:r>
      <w:r w:rsidR="00C37FA3" w:rsidRPr="008E404F">
        <w:t xml:space="preserve"> </w:t>
      </w:r>
      <w:r w:rsidR="00C37FA3" w:rsidRPr="008E404F">
        <w:rPr>
          <w:b/>
        </w:rPr>
        <w:t xml:space="preserve">с </w:t>
      </w:r>
      <w:r w:rsidR="00362631" w:rsidRPr="008E404F">
        <w:rPr>
          <w:b/>
        </w:rPr>
        <w:t>комплексом гидродинамических исследований</w:t>
      </w:r>
      <w:r w:rsidR="00204079" w:rsidRPr="008E404F">
        <w:t>.</w:t>
      </w:r>
    </w:p>
    <w:p w:rsidR="001458C4" w:rsidRPr="008E404F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8E404F">
        <w:rPr>
          <w:rFonts w:eastAsia="Calibri"/>
          <w:bCs/>
          <w:lang w:eastAsia="en-US"/>
        </w:rPr>
        <w:t xml:space="preserve">Выполнение </w:t>
      </w:r>
      <w:r w:rsidR="00CA18C6" w:rsidRPr="008E404F">
        <w:rPr>
          <w:rFonts w:eastAsia="Calibri"/>
          <w:bCs/>
          <w:lang w:eastAsia="en-US"/>
        </w:rPr>
        <w:t xml:space="preserve">работ </w:t>
      </w:r>
      <w:r w:rsidRPr="008E404F">
        <w:rPr>
          <w:rFonts w:eastAsia="Calibri"/>
          <w:bCs/>
          <w:lang w:eastAsia="en-US"/>
        </w:rPr>
        <w:t>в соответствии с производстве</w:t>
      </w:r>
      <w:r w:rsidR="00CD18AA" w:rsidRPr="008E404F">
        <w:rPr>
          <w:rFonts w:eastAsia="Calibri"/>
          <w:bCs/>
          <w:lang w:eastAsia="en-US"/>
        </w:rPr>
        <w:t>нной программой (Приложение №1).</w:t>
      </w:r>
    </w:p>
    <w:p w:rsidR="004B20C3" w:rsidRPr="008E404F" w:rsidRDefault="004B20C3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8B1FD7" w:rsidRPr="008E404F">
        <w:t>.</w:t>
      </w:r>
    </w:p>
    <w:p w:rsidR="00FF433E" w:rsidRPr="008E404F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8E404F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8E404F">
        <w:rPr>
          <w:rFonts w:ascii="Times New Roman" w:hAnsi="Times New Roman"/>
          <w:sz w:val="24"/>
          <w:szCs w:val="24"/>
        </w:rPr>
        <w:t>4</w:t>
      </w:r>
      <w:r w:rsidR="007D4401" w:rsidRPr="008E404F">
        <w:rPr>
          <w:rFonts w:ascii="Times New Roman" w:hAnsi="Times New Roman"/>
          <w:sz w:val="24"/>
          <w:szCs w:val="24"/>
        </w:rPr>
        <w:t xml:space="preserve"> </w:t>
      </w:r>
      <w:r w:rsidRPr="008E404F">
        <w:rPr>
          <w:rFonts w:ascii="Times New Roman" w:hAnsi="Times New Roman"/>
          <w:sz w:val="24"/>
          <w:szCs w:val="24"/>
        </w:rPr>
        <w:t>часа в сутки, 365 дней в году.</w:t>
      </w:r>
    </w:p>
    <w:p w:rsidR="00383C78" w:rsidRPr="008E404F" w:rsidRDefault="00B74D3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Начало работ – 01 </w:t>
      </w:r>
      <w:r w:rsidR="005409F9" w:rsidRPr="008E404F">
        <w:rPr>
          <w:rFonts w:ascii="Times New Roman" w:hAnsi="Times New Roman"/>
          <w:sz w:val="24"/>
          <w:szCs w:val="24"/>
        </w:rPr>
        <w:t>января</w:t>
      </w:r>
      <w:r w:rsidRPr="008E404F">
        <w:rPr>
          <w:rFonts w:ascii="Times New Roman" w:hAnsi="Times New Roman"/>
          <w:sz w:val="24"/>
          <w:szCs w:val="24"/>
        </w:rPr>
        <w:t xml:space="preserve"> 201</w:t>
      </w:r>
      <w:r w:rsidR="00AD2F1F">
        <w:rPr>
          <w:rFonts w:ascii="Times New Roman" w:hAnsi="Times New Roman"/>
          <w:sz w:val="24"/>
          <w:szCs w:val="24"/>
        </w:rPr>
        <w:t>6</w:t>
      </w:r>
      <w:r w:rsidRPr="008E404F">
        <w:rPr>
          <w:rFonts w:ascii="Times New Roman" w:hAnsi="Times New Roman"/>
          <w:sz w:val="24"/>
          <w:szCs w:val="24"/>
        </w:rPr>
        <w:t>г.</w:t>
      </w:r>
      <w:r w:rsidR="00383C78" w:rsidRPr="008E404F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B74D35" w:rsidRPr="008E404F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</w:t>
      </w:r>
      <w:r w:rsidR="00B74D35" w:rsidRPr="008E404F">
        <w:rPr>
          <w:rFonts w:ascii="Times New Roman" w:hAnsi="Times New Roman"/>
          <w:sz w:val="24"/>
          <w:szCs w:val="24"/>
        </w:rPr>
        <w:t xml:space="preserve">кончание работ </w:t>
      </w:r>
      <w:r w:rsidRPr="008E404F">
        <w:rPr>
          <w:rFonts w:ascii="Times New Roman" w:hAnsi="Times New Roman"/>
          <w:sz w:val="24"/>
          <w:szCs w:val="24"/>
        </w:rPr>
        <w:t xml:space="preserve">- </w:t>
      </w:r>
      <w:r w:rsidR="00B74D35" w:rsidRPr="008E404F">
        <w:rPr>
          <w:rFonts w:ascii="Times New Roman" w:hAnsi="Times New Roman"/>
          <w:sz w:val="24"/>
          <w:szCs w:val="24"/>
        </w:rPr>
        <w:t>31 декабря 201</w:t>
      </w:r>
      <w:r w:rsidR="00AD2F1F">
        <w:rPr>
          <w:rFonts w:ascii="Times New Roman" w:hAnsi="Times New Roman"/>
          <w:sz w:val="24"/>
          <w:szCs w:val="24"/>
        </w:rPr>
        <w:t>6</w:t>
      </w:r>
      <w:r w:rsidR="00B74D35" w:rsidRPr="008E404F">
        <w:rPr>
          <w:rFonts w:ascii="Times New Roman" w:hAnsi="Times New Roman"/>
          <w:sz w:val="24"/>
          <w:szCs w:val="24"/>
        </w:rPr>
        <w:t>г.</w:t>
      </w:r>
    </w:p>
    <w:p w:rsidR="00077624" w:rsidRPr="008E404F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Вре</w:t>
      </w:r>
      <w:r w:rsidR="00EC55C9" w:rsidRPr="008E404F"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8E404F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8E404F">
        <w:rPr>
          <w:rFonts w:ascii="Times New Roman" w:hAnsi="Times New Roman"/>
          <w:sz w:val="24"/>
          <w:szCs w:val="24"/>
        </w:rPr>
        <w:t>олучения заявки (наряд-заказа).</w:t>
      </w:r>
    </w:p>
    <w:p w:rsidR="00524B3C" w:rsidRPr="008E404F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 xml:space="preserve">Основные требования к </w:t>
      </w:r>
      <w:r w:rsidR="00656AA5">
        <w:rPr>
          <w:rStyle w:val="aa"/>
          <w:rFonts w:ascii="Times New Roman" w:hAnsi="Times New Roman"/>
          <w:b/>
          <w:sz w:val="28"/>
          <w:szCs w:val="24"/>
        </w:rPr>
        <w:t>Контрагенту</w:t>
      </w:r>
      <w:r w:rsidRPr="008E404F">
        <w:rPr>
          <w:rStyle w:val="aa"/>
          <w:rFonts w:ascii="Times New Roman" w:hAnsi="Times New Roman"/>
          <w:b/>
          <w:sz w:val="28"/>
          <w:szCs w:val="24"/>
        </w:rPr>
        <w:t>.</w:t>
      </w:r>
    </w:p>
    <w:p w:rsidR="00F624C5" w:rsidRPr="008E404F" w:rsidRDefault="00F624C5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Соответствие «Критериям технической оценки оферт участников закупки».</w:t>
      </w:r>
    </w:p>
    <w:p w:rsidR="00524B3C" w:rsidRPr="008E404F" w:rsidRDefault="00524B3C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</w:t>
      </w:r>
      <w:r w:rsidR="00240B1A" w:rsidRPr="008E404F">
        <w:t>01</w:t>
      </w:r>
      <w:r w:rsidR="00AD2F1F">
        <w:t>6</w:t>
      </w:r>
      <w:r w:rsidRPr="008E404F">
        <w:t>г.</w:t>
      </w:r>
    </w:p>
    <w:p w:rsidR="00524B3C" w:rsidRPr="008E404F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 xml:space="preserve">Участник должен предоставлять квалифицированный персонал, имеющий </w:t>
      </w:r>
      <w:r w:rsidR="00731D0F" w:rsidRPr="008E404F">
        <w:rPr>
          <w:b/>
        </w:rPr>
        <w:t xml:space="preserve">опыт работы не менее 5 лет в данной сфере, </w:t>
      </w:r>
      <w:r w:rsidRPr="008E404F">
        <w:t xml:space="preserve">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8E404F" w:rsidRDefault="00B74D35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Для выполнения технологических операций, Подрядчик обеспечивает себя необходи</w:t>
      </w:r>
      <w:r w:rsidR="00756F1B" w:rsidRPr="008E404F">
        <w:rPr>
          <w:rFonts w:eastAsia="Calibri"/>
        </w:rPr>
        <w:t>мым оборудованием</w:t>
      </w:r>
      <w:r w:rsidR="00533F81" w:rsidRPr="008E404F">
        <w:rPr>
          <w:rFonts w:eastAsia="Calibri"/>
        </w:rPr>
        <w:t xml:space="preserve"> (струйными насосами</w:t>
      </w:r>
      <w:r w:rsidR="00C37FA3" w:rsidRPr="008E404F">
        <w:rPr>
          <w:rFonts w:eastAsia="Calibri"/>
        </w:rPr>
        <w:t xml:space="preserve">, </w:t>
      </w:r>
      <w:r w:rsidR="00731D0F" w:rsidRPr="008E404F">
        <w:rPr>
          <w:rFonts w:eastAsia="Calibri"/>
          <w:b/>
        </w:rPr>
        <w:t>извлекаемыми</w:t>
      </w:r>
      <w:r w:rsidR="00731D0F" w:rsidRPr="008E404F">
        <w:rPr>
          <w:rFonts w:eastAsia="Calibri"/>
        </w:rPr>
        <w:t xml:space="preserve"> </w:t>
      </w:r>
      <w:r w:rsidR="00C37FA3" w:rsidRPr="008E404F">
        <w:rPr>
          <w:rFonts w:eastAsia="Calibri"/>
          <w:b/>
        </w:rPr>
        <w:t>клапанами,</w:t>
      </w:r>
      <w:r w:rsidR="00C37FA3" w:rsidRPr="008E404F">
        <w:rPr>
          <w:rFonts w:eastAsia="Calibri"/>
        </w:rPr>
        <w:t xml:space="preserve"> </w:t>
      </w:r>
      <w:r w:rsidR="00C37FA3" w:rsidRPr="008E404F">
        <w:rPr>
          <w:rFonts w:eastAsia="Calibri"/>
          <w:b/>
        </w:rPr>
        <w:t>пакерами, глубинными манометрами, эхолотами</w:t>
      </w:r>
      <w:r w:rsidR="00533F81" w:rsidRPr="008E404F">
        <w:rPr>
          <w:rFonts w:eastAsia="Calibri"/>
        </w:rPr>
        <w:t>)</w:t>
      </w:r>
      <w:r w:rsidR="00232B44" w:rsidRPr="008E404F">
        <w:rPr>
          <w:rFonts w:eastAsia="Calibri"/>
        </w:rPr>
        <w:t xml:space="preserve"> и</w:t>
      </w:r>
      <w:r w:rsidR="00CD18AA" w:rsidRPr="008E404F">
        <w:rPr>
          <w:rFonts w:eastAsia="Calibri"/>
        </w:rPr>
        <w:t xml:space="preserve"> </w:t>
      </w:r>
      <w:r w:rsidRPr="008E404F">
        <w:rPr>
          <w:rFonts w:eastAsia="Calibri"/>
        </w:rPr>
        <w:t>автотранспортом</w:t>
      </w:r>
      <w:r w:rsidR="00CD18AA" w:rsidRPr="008E404F">
        <w:rPr>
          <w:rFonts w:eastAsia="Calibri"/>
        </w:rPr>
        <w:t xml:space="preserve"> (</w:t>
      </w:r>
      <w:r w:rsidRPr="008E404F">
        <w:rPr>
          <w:rFonts w:eastAsia="Calibri"/>
        </w:rPr>
        <w:t>в т.ч. спец. техникой</w:t>
      </w:r>
      <w:r w:rsidR="00CD18AA" w:rsidRPr="008E404F">
        <w:rPr>
          <w:rFonts w:eastAsia="Calibri"/>
        </w:rPr>
        <w:t xml:space="preserve">, насосным агрегатом </w:t>
      </w:r>
      <w:r w:rsidR="002B78C7" w:rsidRPr="008E404F">
        <w:rPr>
          <w:rFonts w:eastAsia="Calibri"/>
        </w:rPr>
        <w:t>оборудованным трех</w:t>
      </w:r>
      <w:r w:rsidR="007A43A0" w:rsidRPr="008E404F">
        <w:rPr>
          <w:rFonts w:eastAsia="Calibri"/>
        </w:rPr>
        <w:t xml:space="preserve"> </w:t>
      </w:r>
      <w:r w:rsidR="002B78C7" w:rsidRPr="008E404F">
        <w:rPr>
          <w:rFonts w:eastAsia="Calibri"/>
        </w:rPr>
        <w:t xml:space="preserve">плунжерным насосом, возрастом не более </w:t>
      </w:r>
      <w:r w:rsidR="008E404F" w:rsidRPr="008E404F">
        <w:rPr>
          <w:rFonts w:eastAsia="Calibri"/>
        </w:rPr>
        <w:t>пяти</w:t>
      </w:r>
      <w:r w:rsidR="002B78C7" w:rsidRPr="008E404F">
        <w:rPr>
          <w:rFonts w:eastAsia="Calibri"/>
        </w:rPr>
        <w:t xml:space="preserve"> лет</w:t>
      </w:r>
      <w:r w:rsidR="00CD18AA" w:rsidRPr="008E404F">
        <w:rPr>
          <w:rFonts w:eastAsia="Calibri"/>
        </w:rPr>
        <w:t>)</w:t>
      </w:r>
      <w:r w:rsidRPr="008E404F">
        <w:rPr>
          <w:rFonts w:eastAsia="Calibri"/>
        </w:rPr>
        <w:t>,</w:t>
      </w:r>
      <w:r w:rsidR="002A3190"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>включая заложение спец. техники и оборудование</w:t>
      </w:r>
      <w:r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 xml:space="preserve">для выполнения работ на автономных месторожениях,  </w:t>
      </w:r>
      <w:r w:rsidRPr="008E404F">
        <w:rPr>
          <w:rFonts w:eastAsia="Calibri"/>
        </w:rPr>
        <w:t>за исключением техники и оборудованием предоставляемых Заказчиком.</w:t>
      </w:r>
    </w:p>
    <w:p w:rsidR="00204079" w:rsidRPr="008E404F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предоставляет оборудование, </w:t>
      </w:r>
      <w:r w:rsidR="002D27AD" w:rsidRPr="008E404F">
        <w:rPr>
          <w:rFonts w:eastAsia="Calibri"/>
          <w:b/>
        </w:rPr>
        <w:t>лицензионное</w:t>
      </w:r>
      <w:r w:rsidR="002D27AD" w:rsidRPr="008E404F">
        <w:rPr>
          <w:rFonts w:eastAsia="Calibri"/>
        </w:rPr>
        <w:t xml:space="preserve"> </w:t>
      </w:r>
      <w:r w:rsidRPr="008E404F">
        <w:rPr>
          <w:rFonts w:eastAsia="Calibri"/>
        </w:rPr>
        <w:t>программное обеспечение и методики, позволяющие</w:t>
      </w:r>
      <w:r w:rsidR="007A43A0" w:rsidRPr="008E404F">
        <w:rPr>
          <w:rFonts w:eastAsia="Calibri"/>
        </w:rPr>
        <w:t xml:space="preserve"> </w:t>
      </w:r>
      <w:r w:rsidR="007A43A0" w:rsidRPr="008E404F">
        <w:rPr>
          <w:rFonts w:eastAsia="Calibri"/>
          <w:b/>
        </w:rPr>
        <w:t>фиксировать СПО оборудования,</w:t>
      </w:r>
      <w:r w:rsidRPr="008E404F">
        <w:rPr>
          <w:rFonts w:eastAsia="Calibri"/>
        </w:rPr>
        <w:t xml:space="preserve"> контролировать параметры освоения (забойное давление, давление закачки, подача насосных агрегатов, приток из скважины и др.)</w:t>
      </w:r>
      <w:r w:rsidR="007A43A0" w:rsidRPr="008E404F">
        <w:rPr>
          <w:rFonts w:eastAsia="Calibri"/>
          <w:b/>
        </w:rPr>
        <w:t xml:space="preserve">, получать </w:t>
      </w:r>
      <w:r w:rsidR="004D3E42" w:rsidRPr="008E404F">
        <w:rPr>
          <w:rFonts w:eastAsia="Calibri"/>
          <w:b/>
        </w:rPr>
        <w:t>результаты процесса освоения без подъёма оборудования,</w:t>
      </w:r>
      <w:r w:rsidR="007B1A09" w:rsidRPr="008E404F">
        <w:rPr>
          <w:rFonts w:eastAsia="Calibri"/>
          <w:b/>
        </w:rPr>
        <w:t xml:space="preserve"> разобщать и осваивать определённый пласт в многопластовых скважинах,</w:t>
      </w:r>
      <w:r w:rsidR="004D3E42" w:rsidRPr="008E404F">
        <w:rPr>
          <w:rFonts w:eastAsia="Calibri"/>
          <w:b/>
        </w:rPr>
        <w:t xml:space="preserve"> замен</w:t>
      </w:r>
      <w:r w:rsidR="00362631" w:rsidRPr="008E404F">
        <w:rPr>
          <w:rFonts w:eastAsia="Calibri"/>
          <w:b/>
        </w:rPr>
        <w:t>я</w:t>
      </w:r>
      <w:r w:rsidR="004D3E42" w:rsidRPr="008E404F">
        <w:rPr>
          <w:rFonts w:eastAsia="Calibri"/>
          <w:b/>
        </w:rPr>
        <w:t>ть рабочую скважинную жидкость на жидкость глушения в над пакерной зоне без воздействия на исследуемый пласт</w:t>
      </w:r>
      <w:r w:rsidRPr="008E404F">
        <w:rPr>
          <w:rFonts w:eastAsia="Calibri"/>
        </w:rPr>
        <w:t xml:space="preserve"> с последующим предоставлением отчета</w:t>
      </w:r>
      <w:r w:rsidR="00964A3F" w:rsidRPr="008E404F">
        <w:rPr>
          <w:rFonts w:eastAsia="Calibri"/>
        </w:rPr>
        <w:t xml:space="preserve"> </w:t>
      </w:r>
      <w:r w:rsidR="00362631" w:rsidRPr="008E404F">
        <w:rPr>
          <w:rFonts w:eastAsia="Calibri"/>
        </w:rPr>
        <w:t xml:space="preserve">выполненного в лицензионной программе, </w:t>
      </w:r>
      <w:r w:rsidR="005059CB" w:rsidRPr="008E404F">
        <w:rPr>
          <w:rFonts w:eastAsia="Calibri"/>
          <w:b/>
        </w:rPr>
        <w:t>содержащего фильтрационно-</w:t>
      </w:r>
      <w:r w:rsidR="002D27AD" w:rsidRPr="008E404F">
        <w:rPr>
          <w:rFonts w:eastAsia="Calibri"/>
          <w:b/>
        </w:rPr>
        <w:t xml:space="preserve">емкостные свойства исследуемого пласта (проницаемость, скин-фактор, забойное </w:t>
      </w:r>
      <w:r w:rsidR="002D27AD" w:rsidRPr="008E404F">
        <w:rPr>
          <w:rFonts w:eastAsia="Calibri"/>
          <w:b/>
        </w:rPr>
        <w:lastRenderedPageBreak/>
        <w:t>давление, гидропроводность, пьезопроводность и д.р.)</w:t>
      </w:r>
      <w:r w:rsidRPr="008E404F">
        <w:rPr>
          <w:rFonts w:eastAsia="Calibri"/>
        </w:rPr>
        <w:t xml:space="preserve"> на </w:t>
      </w:r>
      <w:r w:rsidR="00232B44" w:rsidRPr="008E404F">
        <w:rPr>
          <w:rFonts w:eastAsia="Calibri"/>
        </w:rPr>
        <w:t xml:space="preserve">электронном (не позднее 12 часов после окончания операции) и </w:t>
      </w:r>
      <w:r w:rsidRPr="008E404F">
        <w:rPr>
          <w:rFonts w:eastAsia="Calibri"/>
        </w:rPr>
        <w:t xml:space="preserve">бумажном </w:t>
      </w:r>
      <w:r w:rsidR="00232B44" w:rsidRPr="008E404F">
        <w:rPr>
          <w:rFonts w:eastAsia="Calibri"/>
        </w:rPr>
        <w:t>носителе (не позднее 24 часов после окончания операции).</w:t>
      </w:r>
    </w:p>
    <w:p w:rsidR="00204079" w:rsidRPr="008E404F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Все оборудование должно позволять производить работы в эксплуатационных колоннах диаметром 102-168мм.</w:t>
      </w:r>
    </w:p>
    <w:p w:rsidR="00077624" w:rsidRPr="008E404F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Рекомендуемые технологии и материалы должны быть адаптированы к геологическим условиям месторождений ОАО «СН-МНГ».</w:t>
      </w:r>
    </w:p>
    <w:p w:rsidR="007C5AE1" w:rsidRPr="008E404F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</w:t>
      </w:r>
      <w:r w:rsidR="002A3190" w:rsidRPr="008E404F">
        <w:rPr>
          <w:rFonts w:eastAsia="Calibri"/>
          <w:b/>
        </w:rPr>
        <w:t>глубинными</w:t>
      </w:r>
      <w:r w:rsidR="002A3190" w:rsidRPr="008E404F">
        <w:rPr>
          <w:rFonts w:eastAsia="Calibri"/>
        </w:rPr>
        <w:t xml:space="preserve"> </w:t>
      </w:r>
      <w:r w:rsidRPr="008E404F">
        <w:rPr>
          <w:rFonts w:eastAsia="Calibri"/>
        </w:rPr>
        <w:t>приборами</w:t>
      </w:r>
      <w:r w:rsidR="002A3190"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>в кислотостойком исполнении</w:t>
      </w:r>
      <w:r w:rsidRPr="008E404F">
        <w:rPr>
          <w:rFonts w:eastAsia="Calibri"/>
        </w:rPr>
        <w:t xml:space="preserve">, спецтехникой и материалами </w:t>
      </w:r>
      <w:r w:rsidR="00F624C5" w:rsidRPr="008E404F">
        <w:rPr>
          <w:rFonts w:eastAsia="Calibri"/>
        </w:rPr>
        <w:t>для выполнения безостановочной работы согласно план</w:t>
      </w:r>
      <w:r w:rsidR="006A5999" w:rsidRPr="008E404F">
        <w:rPr>
          <w:rFonts w:eastAsia="Calibri"/>
        </w:rPr>
        <w:t>у</w:t>
      </w:r>
      <w:r w:rsidR="00F624C5" w:rsidRPr="008E404F">
        <w:rPr>
          <w:rFonts w:eastAsia="Calibri"/>
        </w:rPr>
        <w:t xml:space="preserve"> работ</w:t>
      </w:r>
      <w:r w:rsidR="008E404F" w:rsidRPr="008E404F">
        <w:rPr>
          <w:rFonts w:eastAsia="Calibri"/>
        </w:rPr>
        <w:t>.</w:t>
      </w:r>
      <w:r w:rsidR="00731D0F" w:rsidRPr="008E404F">
        <w:rPr>
          <w:rFonts w:eastAsia="Calibri"/>
        </w:rPr>
        <w:t xml:space="preserve"> </w:t>
      </w:r>
    </w:p>
    <w:p w:rsidR="00A41F2C" w:rsidRPr="008E404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Подрядчик обязан исключить применение оборудования,</w:t>
      </w:r>
      <w:r w:rsidR="007C5AE1" w:rsidRPr="008E404F">
        <w:rPr>
          <w:rFonts w:eastAsia="Calibri"/>
        </w:rPr>
        <w:t xml:space="preserve"> </w:t>
      </w:r>
      <w:r w:rsidRPr="008E404F">
        <w:rPr>
          <w:rFonts w:eastAsia="Calibri"/>
        </w:rPr>
        <w:t>влияющ</w:t>
      </w:r>
      <w:r w:rsidR="00756F1B" w:rsidRPr="008E404F">
        <w:rPr>
          <w:rFonts w:eastAsia="Calibri"/>
        </w:rPr>
        <w:t>его</w:t>
      </w:r>
      <w:r w:rsidRPr="008E404F">
        <w:rPr>
          <w:rFonts w:eastAsia="Calibri"/>
        </w:rPr>
        <w:t xml:space="preserve"> на целостность</w:t>
      </w:r>
      <w:r w:rsidR="00FA5E4B" w:rsidRPr="008E404F">
        <w:rPr>
          <w:rFonts w:eastAsia="Calibri"/>
        </w:rPr>
        <w:t xml:space="preserve"> </w:t>
      </w:r>
      <w:r w:rsidR="00FA5E4B" w:rsidRPr="008E404F">
        <w:rPr>
          <w:rFonts w:eastAsia="Calibri"/>
          <w:b/>
        </w:rPr>
        <w:t>эксплуатационной колонны и</w:t>
      </w:r>
      <w:r w:rsidRPr="008E404F">
        <w:rPr>
          <w:rFonts w:eastAsia="Calibri"/>
        </w:rPr>
        <w:t xml:space="preserve"> подземного оборудования, влияющ</w:t>
      </w:r>
      <w:r w:rsidR="00756F1B" w:rsidRPr="008E404F">
        <w:rPr>
          <w:rFonts w:eastAsia="Calibri"/>
        </w:rPr>
        <w:t>его</w:t>
      </w:r>
      <w:r w:rsidRPr="008E404F">
        <w:rPr>
          <w:rFonts w:eastAsia="Calibri"/>
        </w:rPr>
        <w:t xml:space="preserve"> на подготовку нефти.</w:t>
      </w:r>
    </w:p>
    <w:p w:rsidR="007C5AE1" w:rsidRPr="008E404F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Полная материальная ответственность за порчу оборудования и материалов Заказчика, допущенные аварии, осложнения и браки</w:t>
      </w:r>
      <w:r w:rsidR="00DF5460" w:rsidRPr="008E404F">
        <w:rPr>
          <w:rFonts w:eastAsia="Calibri"/>
        </w:rPr>
        <w:t xml:space="preserve">, </w:t>
      </w:r>
      <w:r w:rsidR="00DF5460" w:rsidRPr="008E404F">
        <w:rPr>
          <w:rFonts w:eastAsia="Calibri"/>
          <w:b/>
        </w:rPr>
        <w:t xml:space="preserve">кроме случаев допущения </w:t>
      </w:r>
      <w:r w:rsidR="00992D43" w:rsidRPr="008E404F">
        <w:rPr>
          <w:rFonts w:eastAsia="Calibri"/>
          <w:b/>
        </w:rPr>
        <w:t>аварий, осложнений, брака по вине подрядчика по ТКРС</w:t>
      </w:r>
      <w:r w:rsidRPr="008E404F">
        <w:rPr>
          <w:rFonts w:eastAsia="Calibri"/>
        </w:rPr>
        <w:t>.</w:t>
      </w:r>
    </w:p>
    <w:p w:rsidR="00A41F2C" w:rsidRPr="008E404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регламенты проведения работ.</w:t>
      </w:r>
    </w:p>
    <w:p w:rsidR="00C94BF3" w:rsidRPr="008E404F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8E404F" w:rsidRDefault="00204079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Полное и</w:t>
      </w:r>
      <w:r w:rsidR="0005523D" w:rsidRPr="008E404F">
        <w:t xml:space="preserve">нженерно-технологическое </w:t>
      </w:r>
      <w:r w:rsidR="00C94BF3" w:rsidRPr="008E404F">
        <w:t>сопровождение работ.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Согласие на подписание типово</w:t>
      </w:r>
      <w:r w:rsidR="00756F1B" w:rsidRPr="008E404F">
        <w:rPr>
          <w:rFonts w:ascii="Times New Roman" w:hAnsi="Times New Roman"/>
          <w:sz w:val="24"/>
          <w:szCs w:val="24"/>
        </w:rPr>
        <w:t xml:space="preserve">го договора на выполнение работ по </w:t>
      </w:r>
      <w:r w:rsidR="00CD18AA" w:rsidRPr="008E404F">
        <w:rPr>
          <w:rFonts w:ascii="Times New Roman" w:hAnsi="Times New Roman"/>
          <w:sz w:val="24"/>
          <w:szCs w:val="24"/>
        </w:rPr>
        <w:t>освоению скважин струйными насосами</w:t>
      </w:r>
      <w:r w:rsidR="00992D43" w:rsidRPr="008E404F">
        <w:rPr>
          <w:rFonts w:ascii="Times New Roman" w:hAnsi="Times New Roman"/>
          <w:sz w:val="24"/>
          <w:szCs w:val="24"/>
        </w:rPr>
        <w:t xml:space="preserve"> </w:t>
      </w:r>
      <w:r w:rsidR="00992D43" w:rsidRPr="008E404F">
        <w:rPr>
          <w:rFonts w:ascii="Times New Roman" w:hAnsi="Times New Roman"/>
          <w:b/>
          <w:sz w:val="24"/>
          <w:szCs w:val="24"/>
        </w:rPr>
        <w:t>с</w:t>
      </w:r>
      <w:r w:rsidR="00BA1AE8" w:rsidRPr="008E404F">
        <w:rPr>
          <w:rFonts w:ascii="Times New Roman" w:hAnsi="Times New Roman"/>
          <w:b/>
          <w:sz w:val="24"/>
          <w:szCs w:val="24"/>
        </w:rPr>
        <w:t xml:space="preserve"> комплексом гидродинамических исследований</w:t>
      </w:r>
      <w:r w:rsidR="00756F1B" w:rsidRPr="008E404F">
        <w:rPr>
          <w:rFonts w:ascii="Times New Roman" w:hAnsi="Times New Roman"/>
          <w:sz w:val="24"/>
          <w:szCs w:val="24"/>
        </w:rPr>
        <w:t>.</w:t>
      </w:r>
    </w:p>
    <w:p w:rsidR="00F624C5" w:rsidRPr="008E404F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При составлении Плана работ Подрядчик обязан руководствоваться заявкой (наряд</w:t>
      </w:r>
      <w:r w:rsidR="006A5999" w:rsidRPr="008E404F">
        <w:rPr>
          <w:bCs/>
        </w:rPr>
        <w:t>-</w:t>
      </w:r>
      <w:r w:rsidRPr="008E404F">
        <w:rPr>
          <w:bCs/>
        </w:rPr>
        <w:t>заказом) предоставленным Заказчиком.</w:t>
      </w:r>
    </w:p>
    <w:p w:rsidR="00A41F2C" w:rsidRPr="008E404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Работа по заявочной системе.</w:t>
      </w:r>
      <w:r w:rsidR="00FA7575" w:rsidRPr="008E404F">
        <w:rPr>
          <w:rFonts w:eastAsia="Calibri"/>
        </w:rPr>
        <w:t xml:space="preserve"> Заявки подаются круглосуточно</w:t>
      </w:r>
      <w:r w:rsidR="00992D43" w:rsidRPr="008E404F">
        <w:rPr>
          <w:rFonts w:eastAsia="Calibri"/>
        </w:rPr>
        <w:t xml:space="preserve"> </w:t>
      </w:r>
      <w:r w:rsidR="00BA1AE8" w:rsidRPr="008E404F">
        <w:rPr>
          <w:rFonts w:eastAsia="Calibri"/>
          <w:b/>
        </w:rPr>
        <w:t>через ЦИТС Подрядчика</w:t>
      </w:r>
      <w:r w:rsidR="00FA7575" w:rsidRPr="008E404F">
        <w:rPr>
          <w:rFonts w:eastAsia="Calibri"/>
        </w:rPr>
        <w:t>.</w:t>
      </w:r>
    </w:p>
    <w:p w:rsidR="00FA7575" w:rsidRPr="008E404F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Проведение технологических операций под руководством ИТР.</w:t>
      </w:r>
    </w:p>
    <w:p w:rsidR="00FA7575" w:rsidRPr="008E404F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Обеспечение выполнения одновременных работ при поступлении заявок</w:t>
      </w:r>
      <w:r w:rsidR="00A913F2" w:rsidRPr="008E404F">
        <w:rPr>
          <w:rFonts w:eastAsia="Calibri"/>
        </w:rPr>
        <w:t xml:space="preserve"> </w:t>
      </w:r>
      <w:r w:rsidR="00A913F2" w:rsidRPr="008E404F">
        <w:rPr>
          <w:rFonts w:eastAsia="Calibri"/>
          <w:b/>
        </w:rPr>
        <w:t>до 5 объектов на месторождениях Заказчика</w:t>
      </w:r>
      <w:r w:rsidR="00CD18AA" w:rsidRPr="008E404F">
        <w:rPr>
          <w:rFonts w:eastAsia="Calibri"/>
        </w:rPr>
        <w:t>.</w:t>
      </w:r>
    </w:p>
    <w:p w:rsidR="000E24F4" w:rsidRPr="008E404F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8E404F">
        <w:t>Заключить договоры с энергосбытовой и сетевой компаниями на покупку и передачу электроэнергии.</w:t>
      </w:r>
    </w:p>
    <w:p w:rsidR="00524B3C" w:rsidRPr="008E404F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Обеспечение фирменной спецодеждой с логотипом собственной компании.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 xml:space="preserve">Обеспечение культуры производства на уровне </w:t>
      </w:r>
      <w:r w:rsidR="006A5999" w:rsidRPr="008E404F">
        <w:t xml:space="preserve">отраслевых </w:t>
      </w:r>
      <w:r w:rsidRPr="008E404F">
        <w:t>стандартов.</w:t>
      </w:r>
    </w:p>
    <w:p w:rsidR="0076086C" w:rsidRPr="008E404F" w:rsidRDefault="0076086C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Организация круглосуточного производства работ.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lastRenderedPageBreak/>
        <w:t>Обязательное наличие круглосуточной телефонной, электронной связи с Заказчиком.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Ликвидация браков, аварий по вине Подрядчика выполняется за счет Подрядчика</w:t>
      </w:r>
      <w:r w:rsidR="00487A1B" w:rsidRPr="008E404F">
        <w:t>,</w:t>
      </w:r>
      <w:r w:rsidR="00487A1B" w:rsidRPr="008E404F">
        <w:rPr>
          <w:rFonts w:eastAsia="Calibri"/>
          <w:b/>
        </w:rPr>
        <w:t xml:space="preserve"> кроме случаев допущения аварий, осложнений, брака по вине подрядчика по ТКРС</w:t>
      </w:r>
      <w:r w:rsidRPr="008E404F">
        <w:t xml:space="preserve">. 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Ответственность перед Заказчико</w:t>
      </w:r>
      <w:r w:rsidR="006F1F9B" w:rsidRPr="008E404F">
        <w:t xml:space="preserve">м </w:t>
      </w:r>
      <w:r w:rsidRPr="008E404F">
        <w:t>за действия или бездействия третьей стороны (субподрядчик).</w:t>
      </w:r>
    </w:p>
    <w:p w:rsidR="0076086C" w:rsidRPr="008E404F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8E404F">
        <w:rPr>
          <w:rFonts w:ascii="Times New Roman" w:hAnsi="Times New Roman"/>
          <w:sz w:val="24"/>
          <w:szCs w:val="24"/>
        </w:rPr>
        <w:t xml:space="preserve">условиям </w:t>
      </w:r>
      <w:r w:rsidRPr="008E404F">
        <w:rPr>
          <w:rFonts w:ascii="Times New Roman" w:hAnsi="Times New Roman"/>
          <w:sz w:val="24"/>
          <w:szCs w:val="24"/>
        </w:rPr>
        <w:t>договор</w:t>
      </w:r>
      <w:r w:rsidR="00D61620" w:rsidRPr="008E404F">
        <w:rPr>
          <w:rFonts w:ascii="Times New Roman" w:hAnsi="Times New Roman"/>
          <w:sz w:val="24"/>
          <w:szCs w:val="24"/>
        </w:rPr>
        <w:t>а</w:t>
      </w:r>
      <w:r w:rsidRPr="008E404F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8E404F">
        <w:rPr>
          <w:rFonts w:ascii="Times New Roman" w:hAnsi="Times New Roman"/>
          <w:sz w:val="24"/>
          <w:szCs w:val="24"/>
        </w:rPr>
        <w:t>я документов</w:t>
      </w:r>
      <w:r w:rsidRPr="008E404F">
        <w:rPr>
          <w:rFonts w:ascii="Times New Roman" w:hAnsi="Times New Roman"/>
          <w:sz w:val="24"/>
          <w:szCs w:val="24"/>
        </w:rPr>
        <w:t>.</w:t>
      </w:r>
    </w:p>
    <w:p w:rsidR="00B079F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8E404F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8E404F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 w:rsidRPr="008E404F">
        <w:rPr>
          <w:rFonts w:ascii="Times New Roman" w:hAnsi="Times New Roman"/>
          <w:sz w:val="24"/>
          <w:szCs w:val="24"/>
        </w:rPr>
        <w:t>в</w:t>
      </w:r>
      <w:r w:rsidRPr="008E404F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8E404F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 w:rsidRPr="008E404F">
        <w:rPr>
          <w:rFonts w:ascii="Times New Roman" w:hAnsi="Times New Roman"/>
          <w:sz w:val="24"/>
          <w:szCs w:val="24"/>
        </w:rPr>
        <w:t>,</w:t>
      </w:r>
      <w:r w:rsidRPr="008E404F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8E404F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lang w:eastAsia="en-US"/>
        </w:rPr>
      </w:pPr>
      <w:r w:rsidRPr="008E404F">
        <w:rPr>
          <w:rFonts w:eastAsia="Calibri"/>
          <w:color w:val="auto"/>
          <w:lang w:eastAsia="en-US"/>
        </w:rPr>
        <w:t>Заказчик оставляет за собой</w:t>
      </w:r>
      <w:r w:rsidR="00FA7575" w:rsidRPr="008E404F">
        <w:rPr>
          <w:rFonts w:eastAsia="Calibri"/>
          <w:color w:val="auto"/>
          <w:lang w:eastAsia="en-US"/>
        </w:rPr>
        <w:t xml:space="preserve"> право осуществлять контроль </w:t>
      </w:r>
      <w:r w:rsidRPr="008E404F">
        <w:rPr>
          <w:rFonts w:eastAsia="Calibri"/>
          <w:color w:val="auto"/>
          <w:lang w:eastAsia="en-US"/>
        </w:rPr>
        <w:t>качеств</w:t>
      </w:r>
      <w:r w:rsidR="00FA7575" w:rsidRPr="008E404F">
        <w:rPr>
          <w:rFonts w:eastAsia="Calibri"/>
          <w:color w:val="auto"/>
          <w:lang w:eastAsia="en-US"/>
        </w:rPr>
        <w:t>а</w:t>
      </w:r>
      <w:r w:rsidRPr="008E404F">
        <w:rPr>
          <w:rFonts w:eastAsia="Calibri"/>
          <w:color w:val="auto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C04996" w:rsidRPr="008E404F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 w:rsidRPr="008E404F">
        <w:rPr>
          <w:rFonts w:ascii="Times New Roman" w:hAnsi="Times New Roman"/>
          <w:sz w:val="24"/>
          <w:szCs w:val="24"/>
        </w:rPr>
        <w:t xml:space="preserve">менее </w:t>
      </w:r>
      <w:r w:rsidRPr="008E404F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8E404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8E404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8E404F" w:rsidRDefault="00C0499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BD38D2" w:rsidRPr="008E404F" w:rsidRDefault="00BD38D2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lastRenderedPageBreak/>
        <w:t>Формирование стоимости работ.</w:t>
      </w:r>
    </w:p>
    <w:p w:rsidR="002B78C7" w:rsidRPr="008E404F" w:rsidRDefault="002B78C7" w:rsidP="002B78C7"/>
    <w:p w:rsidR="00B168E2" w:rsidRPr="008E404F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Оплате подлежат только </w:t>
      </w:r>
      <w:r w:rsidR="00CD18AA" w:rsidRPr="008E404F">
        <w:rPr>
          <w:rStyle w:val="aa"/>
          <w:b w:val="0"/>
        </w:rPr>
        <w:t xml:space="preserve">успешные </w:t>
      </w:r>
      <w:r w:rsidRPr="008E404F">
        <w:rPr>
          <w:rStyle w:val="aa"/>
          <w:b w:val="0"/>
        </w:rPr>
        <w:t>работы</w:t>
      </w:r>
      <w:r w:rsidR="00CD18AA" w:rsidRPr="008E404F">
        <w:rPr>
          <w:rStyle w:val="aa"/>
          <w:b w:val="0"/>
        </w:rPr>
        <w:t>.</w:t>
      </w:r>
      <w:r w:rsidR="00533F81" w:rsidRPr="008E404F">
        <w:rPr>
          <w:rStyle w:val="aa"/>
          <w:b w:val="0"/>
        </w:rPr>
        <w:t xml:space="preserve"> </w:t>
      </w:r>
    </w:p>
    <w:p w:rsidR="00CD18AA" w:rsidRPr="008E404F" w:rsidRDefault="00CD18AA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Основными показателями </w:t>
      </w:r>
      <w:r w:rsidR="00B168E2" w:rsidRPr="008E404F">
        <w:rPr>
          <w:rStyle w:val="aa"/>
          <w:b w:val="0"/>
        </w:rPr>
        <w:t>успешности выполненных работ</w:t>
      </w:r>
      <w:r w:rsidRPr="008E404F">
        <w:rPr>
          <w:rStyle w:val="aa"/>
          <w:b w:val="0"/>
        </w:rPr>
        <w:t xml:space="preserve"> являются:</w:t>
      </w:r>
    </w:p>
    <w:p w:rsidR="00A31664" w:rsidRPr="008E404F" w:rsidRDefault="00CD18AA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Выполнение комплекса работ предусмотренных планом</w:t>
      </w:r>
      <w:r w:rsidR="00533F81" w:rsidRPr="008E404F">
        <w:rPr>
          <w:rStyle w:val="aa"/>
          <w:b w:val="0"/>
        </w:rPr>
        <w:t>, утвержденным специалистами Заказчика;</w:t>
      </w:r>
    </w:p>
    <w:p w:rsidR="00533F81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Наличие стабильного притока скважинной жидкости </w:t>
      </w:r>
      <w:r w:rsidR="00BA63EE" w:rsidRPr="008E404F">
        <w:rPr>
          <w:rStyle w:val="aa"/>
        </w:rPr>
        <w:t xml:space="preserve">со стабилизацией забойного давления в течении не менее 4-х часов </w:t>
      </w:r>
      <w:r w:rsidRPr="008E404F">
        <w:rPr>
          <w:rStyle w:val="aa"/>
          <w:b w:val="0"/>
        </w:rPr>
        <w:t>при освоении;</w:t>
      </w:r>
    </w:p>
    <w:p w:rsidR="00533F81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Снижение забойного давления в процессе освоения до плановой величины;</w:t>
      </w:r>
    </w:p>
    <w:p w:rsidR="00B168E2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Отбор запланированного количества пластовой жидкости при освоении</w:t>
      </w:r>
      <w:r w:rsidR="00B168E2" w:rsidRPr="008E404F">
        <w:rPr>
          <w:rStyle w:val="aa"/>
          <w:b w:val="0"/>
        </w:rPr>
        <w:t>;</w:t>
      </w:r>
    </w:p>
    <w:p w:rsidR="00533F81" w:rsidRPr="008E404F" w:rsidRDefault="00B168E2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Предоставление отчета</w:t>
      </w:r>
      <w:r w:rsidR="002B78C7" w:rsidRPr="008E404F">
        <w:rPr>
          <w:rStyle w:val="aa"/>
          <w:b w:val="0"/>
        </w:rPr>
        <w:t>, в установленной (согласованной с Заказчиком) форме.</w:t>
      </w:r>
    </w:p>
    <w:p w:rsidR="00F624C5" w:rsidRPr="008E404F" w:rsidRDefault="00A31664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Оплата производится </w:t>
      </w:r>
      <w:r w:rsidR="00F624C5" w:rsidRPr="008E404F">
        <w:rPr>
          <w:rStyle w:val="aa"/>
          <w:b w:val="0"/>
        </w:rPr>
        <w:t>по согласованной стоимости скважино-операции, при достижении расчетных параметров успешности, приведе</w:t>
      </w:r>
      <w:r w:rsidR="00533F81" w:rsidRPr="008E404F">
        <w:rPr>
          <w:rStyle w:val="aa"/>
          <w:b w:val="0"/>
        </w:rPr>
        <w:t>нных в плане работ на скважине.</w:t>
      </w:r>
    </w:p>
    <w:p w:rsidR="00524B3C" w:rsidRPr="008E404F" w:rsidRDefault="0005523D" w:rsidP="00F60FAB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8E404F">
        <w:rPr>
          <w:rStyle w:val="aa"/>
        </w:rPr>
        <w:t xml:space="preserve">В стоимость работ </w:t>
      </w:r>
      <w:r w:rsidR="00E01AB1" w:rsidRPr="008E404F">
        <w:rPr>
          <w:rStyle w:val="aa"/>
        </w:rPr>
        <w:t>должны входить затраты Подрядчика:</w:t>
      </w:r>
    </w:p>
    <w:p w:rsidR="0005523D" w:rsidRPr="008E404F" w:rsidRDefault="00533F81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Проведение работ по освоению и инженерное сопровождение всего комплекса работ</w:t>
      </w:r>
      <w:r w:rsidR="0005523D" w:rsidRPr="008E404F">
        <w:rPr>
          <w:rFonts w:eastAsia="Arial Unicode MS"/>
        </w:rPr>
        <w:t>;</w:t>
      </w:r>
    </w:p>
    <w:p w:rsidR="00533F81" w:rsidRPr="008E404F" w:rsidRDefault="00533F81" w:rsidP="00533F81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533F81" w:rsidRPr="008E404F" w:rsidRDefault="00533F81" w:rsidP="00533F81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 xml:space="preserve">Затраты на завоз/вывоз и ревизию струйных насосов. 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обустройство базы (производственного участка), проживание;</w:t>
      </w:r>
      <w:r w:rsidRPr="008E404F">
        <w:rPr>
          <w:rFonts w:eastAsia="Arial Unicode MS"/>
        </w:rPr>
        <w:tab/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jc w:val="both"/>
        <w:rPr>
          <w:rFonts w:eastAsia="Arial Unicode MS"/>
        </w:rPr>
      </w:pPr>
      <w:r w:rsidRPr="008E404F">
        <w:rPr>
          <w:rFonts w:eastAsia="Arial Unicode MS"/>
        </w:rPr>
        <w:t>Арендные платежи;</w:t>
      </w:r>
      <w:r w:rsidRPr="008E404F">
        <w:rPr>
          <w:rFonts w:eastAsia="Arial Unicode MS"/>
        </w:rPr>
        <w:tab/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jc w:val="both"/>
      </w:pPr>
      <w:r w:rsidRPr="008E404F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8E404F">
        <w:rPr>
          <w:rFonts w:eastAsia="Arial Unicode MS"/>
        </w:rPr>
        <w:tab/>
      </w:r>
    </w:p>
    <w:p w:rsidR="00533F81" w:rsidRPr="008E404F" w:rsidRDefault="00533F8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Закачка химических реагентов во время ОПЗ (химические реагенты и спецтехника для закачки) – зона ответственности Заказчика.</w:t>
      </w:r>
    </w:p>
    <w:p w:rsidR="00B85431" w:rsidRPr="008E404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Оплата </w:t>
      </w:r>
      <w:r w:rsidR="00224BB8" w:rsidRPr="00224BB8">
        <w:rPr>
          <w:rFonts w:ascii="Times New Roman" w:hAnsi="Times New Roman"/>
          <w:sz w:val="24"/>
          <w:szCs w:val="24"/>
        </w:rPr>
        <w:t>выполненных Работ в течение 90 календарных дней, но не ранее 60 дней с даты получения от Подрядчика оригиналов документов в соответствии с п. 5.1.16. Договора</w:t>
      </w:r>
      <w:r w:rsidRPr="008E404F">
        <w:rPr>
          <w:rFonts w:ascii="Times New Roman" w:hAnsi="Times New Roman"/>
          <w:sz w:val="24"/>
          <w:szCs w:val="24"/>
        </w:rPr>
        <w:t>.</w:t>
      </w:r>
    </w:p>
    <w:p w:rsidR="00B85431" w:rsidRPr="008E404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Простои по вине Подрядчика не оплачиваются</w:t>
      </w:r>
      <w:r w:rsidR="00DE3B10" w:rsidRPr="008E404F">
        <w:rPr>
          <w:rFonts w:ascii="Times New Roman" w:hAnsi="Times New Roman"/>
          <w:sz w:val="24"/>
          <w:szCs w:val="24"/>
        </w:rPr>
        <w:t>.</w:t>
      </w:r>
      <w:r w:rsidRPr="008E404F">
        <w:rPr>
          <w:rFonts w:ascii="Times New Roman" w:hAnsi="Times New Roman"/>
          <w:sz w:val="24"/>
          <w:szCs w:val="24"/>
        </w:rPr>
        <w:t xml:space="preserve"> </w:t>
      </w:r>
    </w:p>
    <w:p w:rsidR="006801D8" w:rsidRPr="008E404F" w:rsidRDefault="006801D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15CA3" w:rsidRPr="008E404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015CA3" w:rsidRPr="008E404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lastRenderedPageBreak/>
        <w:t xml:space="preserve">Необходимо предоставить полный список </w:t>
      </w:r>
      <w:r w:rsidR="006E0F7B" w:rsidRPr="008E404F"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8E404F">
        <w:rPr>
          <w:rFonts w:ascii="Times New Roman" w:hAnsi="Times New Roman"/>
          <w:sz w:val="24"/>
          <w:szCs w:val="24"/>
        </w:rPr>
        <w:t xml:space="preserve">, </w:t>
      </w:r>
      <w:r w:rsidR="006E0F7B" w:rsidRPr="008E404F">
        <w:rPr>
          <w:rFonts w:ascii="Times New Roman" w:hAnsi="Times New Roman"/>
          <w:sz w:val="24"/>
          <w:szCs w:val="24"/>
        </w:rPr>
        <w:t>находящегося</w:t>
      </w:r>
      <w:r w:rsidRPr="008E404F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r w:rsidR="006E0F7B" w:rsidRPr="008E404F">
        <w:rPr>
          <w:rFonts w:ascii="Times New Roman" w:hAnsi="Times New Roman"/>
          <w:sz w:val="24"/>
          <w:szCs w:val="24"/>
        </w:rPr>
        <w:t xml:space="preserve">шт, </w:t>
      </w:r>
      <w:r w:rsidRPr="008E404F">
        <w:rPr>
          <w:rFonts w:ascii="Times New Roman" w:hAnsi="Times New Roman"/>
          <w:sz w:val="24"/>
          <w:szCs w:val="24"/>
        </w:rPr>
        <w:t>м3, тн и т.д.).</w:t>
      </w:r>
    </w:p>
    <w:p w:rsidR="006B7A15" w:rsidRPr="008E404F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Прочие условия.</w:t>
      </w:r>
      <w:r w:rsidRPr="008E404F">
        <w:rPr>
          <w:rStyle w:val="aa"/>
          <w:rFonts w:ascii="Times New Roman" w:hAnsi="Times New Roman"/>
          <w:b/>
          <w:sz w:val="28"/>
          <w:szCs w:val="24"/>
        </w:rPr>
        <w:tab/>
      </w:r>
    </w:p>
    <w:p w:rsidR="002B78C7" w:rsidRPr="008E404F" w:rsidRDefault="002B78C7" w:rsidP="002B78C7">
      <w:pPr>
        <w:rPr>
          <w:rFonts w:eastAsia="Arial Unicode MS"/>
        </w:rPr>
      </w:pP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8E404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8E404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</w:t>
      </w:r>
      <w:r w:rsidR="005431B0" w:rsidRPr="008E404F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A31664" w:rsidRPr="008E404F" w:rsidRDefault="00A31664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10040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E61C8B" w:rsidRPr="00E61C8B" w:rsidTr="00002E3A">
        <w:tc>
          <w:tcPr>
            <w:tcW w:w="4820" w:type="dxa"/>
            <w:shd w:val="clear" w:color="auto" w:fill="auto"/>
          </w:tcPr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  <w:r w:rsidRPr="00E61C8B">
              <w:rPr>
                <w:b/>
                <w:bCs/>
                <w:sz w:val="23"/>
                <w:szCs w:val="23"/>
              </w:rPr>
              <w:t>ЗАКАЗЧИК</w:t>
            </w:r>
          </w:p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  <w:r w:rsidRPr="00E61C8B">
              <w:rPr>
                <w:b/>
                <w:bCs/>
                <w:sz w:val="23"/>
                <w:szCs w:val="23"/>
              </w:rPr>
              <w:t>ОАО «СН-МНГ»</w:t>
            </w:r>
          </w:p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60" w:type="dxa"/>
            <w:shd w:val="clear" w:color="auto" w:fill="auto"/>
          </w:tcPr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860" w:type="dxa"/>
            <w:shd w:val="clear" w:color="auto" w:fill="auto"/>
          </w:tcPr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  <w:r w:rsidRPr="00E61C8B">
              <w:rPr>
                <w:b/>
                <w:bCs/>
                <w:sz w:val="23"/>
                <w:szCs w:val="23"/>
              </w:rPr>
              <w:t>ПОДРЯДЧИК</w:t>
            </w:r>
          </w:p>
          <w:p w:rsidR="00E61C8B" w:rsidRPr="00E61C8B" w:rsidRDefault="00E61C8B" w:rsidP="00E61C8B">
            <w:pPr>
              <w:rPr>
                <w:b/>
                <w:bCs/>
                <w:sz w:val="23"/>
                <w:szCs w:val="23"/>
              </w:rPr>
            </w:pPr>
          </w:p>
        </w:tc>
      </w:tr>
      <w:tr w:rsidR="00E61C8B" w:rsidRPr="00E61C8B" w:rsidTr="00002E3A">
        <w:tc>
          <w:tcPr>
            <w:tcW w:w="4820" w:type="dxa"/>
            <w:shd w:val="clear" w:color="auto" w:fill="auto"/>
          </w:tcPr>
          <w:p w:rsidR="00E61C8B" w:rsidRPr="00AA360B" w:rsidRDefault="00E61C8B" w:rsidP="00E61C8B">
            <w:pPr>
              <w:rPr>
                <w:bCs/>
                <w:sz w:val="23"/>
                <w:szCs w:val="23"/>
              </w:rPr>
            </w:pPr>
          </w:p>
          <w:p w:rsidR="00E61C8B" w:rsidRPr="00AA360B" w:rsidRDefault="00E61C8B" w:rsidP="00E61C8B">
            <w:pPr>
              <w:rPr>
                <w:bCs/>
                <w:sz w:val="23"/>
                <w:szCs w:val="23"/>
              </w:rPr>
            </w:pPr>
          </w:p>
          <w:p w:rsidR="00E61C8B" w:rsidRPr="00AA360B" w:rsidRDefault="00AA360B" w:rsidP="00E61C8B">
            <w:pPr>
              <w:rPr>
                <w:bCs/>
                <w:sz w:val="23"/>
                <w:szCs w:val="23"/>
              </w:rPr>
            </w:pPr>
            <w:r w:rsidRPr="00AA360B">
              <w:rPr>
                <w:bCs/>
              </w:rPr>
              <w:t>_____________________(ФИО)</w:t>
            </w:r>
          </w:p>
          <w:p w:rsidR="00E61C8B" w:rsidRPr="00AA360B" w:rsidRDefault="00E61C8B" w:rsidP="00E61C8B">
            <w:pPr>
              <w:rPr>
                <w:bCs/>
                <w:sz w:val="23"/>
                <w:szCs w:val="23"/>
              </w:rPr>
            </w:pPr>
          </w:p>
        </w:tc>
        <w:tc>
          <w:tcPr>
            <w:tcW w:w="360" w:type="dxa"/>
            <w:shd w:val="clear" w:color="auto" w:fill="auto"/>
          </w:tcPr>
          <w:p w:rsidR="00E61C8B" w:rsidRPr="00E61C8B" w:rsidRDefault="00E61C8B" w:rsidP="00E61C8B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0" w:type="dxa"/>
            <w:shd w:val="clear" w:color="auto" w:fill="auto"/>
          </w:tcPr>
          <w:p w:rsidR="00E61C8B" w:rsidRPr="00E61C8B" w:rsidRDefault="00E61C8B" w:rsidP="00E61C8B">
            <w:pPr>
              <w:rPr>
                <w:bCs/>
                <w:sz w:val="23"/>
                <w:szCs w:val="23"/>
              </w:rPr>
            </w:pPr>
          </w:p>
          <w:p w:rsidR="00E61C8B" w:rsidRPr="00E61C8B" w:rsidRDefault="00E61C8B" w:rsidP="00E61C8B">
            <w:pPr>
              <w:rPr>
                <w:bCs/>
                <w:sz w:val="23"/>
                <w:szCs w:val="23"/>
              </w:rPr>
            </w:pPr>
          </w:p>
          <w:p w:rsidR="00E61C8B" w:rsidRPr="00E61C8B" w:rsidRDefault="00E61C8B" w:rsidP="00E61C8B">
            <w:pPr>
              <w:rPr>
                <w:bCs/>
                <w:sz w:val="23"/>
                <w:szCs w:val="23"/>
              </w:rPr>
            </w:pPr>
            <w:r w:rsidRPr="00E61C8B">
              <w:rPr>
                <w:bCs/>
                <w:sz w:val="23"/>
                <w:szCs w:val="23"/>
              </w:rPr>
              <w:t>_____________________</w:t>
            </w:r>
            <w:r>
              <w:rPr>
                <w:bCs/>
                <w:sz w:val="23"/>
                <w:szCs w:val="23"/>
              </w:rPr>
              <w:t>(ФИО)</w:t>
            </w:r>
          </w:p>
          <w:p w:rsidR="00E61C8B" w:rsidRPr="00E61C8B" w:rsidRDefault="00E61C8B" w:rsidP="00E61C8B">
            <w:pPr>
              <w:rPr>
                <w:bCs/>
                <w:sz w:val="23"/>
                <w:szCs w:val="23"/>
              </w:rPr>
            </w:pPr>
          </w:p>
        </w:tc>
      </w:tr>
    </w:tbl>
    <w:p w:rsidR="004B20C3" w:rsidRPr="008E404F" w:rsidRDefault="004B20C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20C3" w:rsidRPr="008E404F" w:rsidSect="00D814B8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5B1" w:rsidRDefault="00EB55B1" w:rsidP="004E2ECF">
      <w:r>
        <w:separator/>
      </w:r>
    </w:p>
  </w:endnote>
  <w:endnote w:type="continuationSeparator" w:id="0">
    <w:p w:rsidR="00EB55B1" w:rsidRDefault="00EB55B1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656AA5">
      <w:rPr>
        <w:noProof/>
      </w:rPr>
      <w:t>1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5B1" w:rsidRDefault="00EB55B1" w:rsidP="004E2ECF">
      <w:r>
        <w:separator/>
      </w:r>
    </w:p>
  </w:footnote>
  <w:footnote w:type="continuationSeparator" w:id="0">
    <w:p w:rsidR="00EB55B1" w:rsidRDefault="00EB55B1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2254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E24F4"/>
    <w:rsid w:val="000E71B0"/>
    <w:rsid w:val="000F4AA1"/>
    <w:rsid w:val="000F7C1D"/>
    <w:rsid w:val="00100030"/>
    <w:rsid w:val="001233D1"/>
    <w:rsid w:val="00132779"/>
    <w:rsid w:val="00132FDE"/>
    <w:rsid w:val="001458C4"/>
    <w:rsid w:val="00152B32"/>
    <w:rsid w:val="001736D4"/>
    <w:rsid w:val="001747B9"/>
    <w:rsid w:val="001849F4"/>
    <w:rsid w:val="001A3ACB"/>
    <w:rsid w:val="001B090E"/>
    <w:rsid w:val="001B597B"/>
    <w:rsid w:val="001D3AA9"/>
    <w:rsid w:val="001E0B41"/>
    <w:rsid w:val="00202B10"/>
    <w:rsid w:val="00203716"/>
    <w:rsid w:val="00204079"/>
    <w:rsid w:val="00205592"/>
    <w:rsid w:val="00205AB1"/>
    <w:rsid w:val="0021088E"/>
    <w:rsid w:val="00212864"/>
    <w:rsid w:val="00221741"/>
    <w:rsid w:val="00224BB8"/>
    <w:rsid w:val="002276CE"/>
    <w:rsid w:val="00232B44"/>
    <w:rsid w:val="00240B1A"/>
    <w:rsid w:val="00280FD0"/>
    <w:rsid w:val="00281279"/>
    <w:rsid w:val="002A3190"/>
    <w:rsid w:val="002B78C7"/>
    <w:rsid w:val="002D27AD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62631"/>
    <w:rsid w:val="00383C78"/>
    <w:rsid w:val="003A3295"/>
    <w:rsid w:val="003A3A1B"/>
    <w:rsid w:val="003A4C10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64329"/>
    <w:rsid w:val="00474AE1"/>
    <w:rsid w:val="00482A6E"/>
    <w:rsid w:val="004845C3"/>
    <w:rsid w:val="00487A1B"/>
    <w:rsid w:val="00492E48"/>
    <w:rsid w:val="004A3C05"/>
    <w:rsid w:val="004B20C3"/>
    <w:rsid w:val="004B7849"/>
    <w:rsid w:val="004D3E42"/>
    <w:rsid w:val="004E2ECF"/>
    <w:rsid w:val="004E304B"/>
    <w:rsid w:val="004E643F"/>
    <w:rsid w:val="004F2237"/>
    <w:rsid w:val="004F2892"/>
    <w:rsid w:val="005059CB"/>
    <w:rsid w:val="005124CC"/>
    <w:rsid w:val="005136E4"/>
    <w:rsid w:val="00515FB2"/>
    <w:rsid w:val="00524B3C"/>
    <w:rsid w:val="00525ADD"/>
    <w:rsid w:val="0052772F"/>
    <w:rsid w:val="00533F81"/>
    <w:rsid w:val="00535E54"/>
    <w:rsid w:val="005409F9"/>
    <w:rsid w:val="005431B0"/>
    <w:rsid w:val="00544F48"/>
    <w:rsid w:val="0055529B"/>
    <w:rsid w:val="00571248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5AE"/>
    <w:rsid w:val="00605185"/>
    <w:rsid w:val="0063091E"/>
    <w:rsid w:val="00656AA5"/>
    <w:rsid w:val="00674652"/>
    <w:rsid w:val="006801D8"/>
    <w:rsid w:val="006829C2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20D20"/>
    <w:rsid w:val="00721E14"/>
    <w:rsid w:val="00731D0F"/>
    <w:rsid w:val="007543F9"/>
    <w:rsid w:val="00756F1B"/>
    <w:rsid w:val="0076086C"/>
    <w:rsid w:val="00777D67"/>
    <w:rsid w:val="00782660"/>
    <w:rsid w:val="007946F7"/>
    <w:rsid w:val="00797FA2"/>
    <w:rsid w:val="007A43A0"/>
    <w:rsid w:val="007B1A09"/>
    <w:rsid w:val="007C5AE1"/>
    <w:rsid w:val="007D4401"/>
    <w:rsid w:val="007E4F2E"/>
    <w:rsid w:val="007E561B"/>
    <w:rsid w:val="00802BA9"/>
    <w:rsid w:val="00806070"/>
    <w:rsid w:val="00826242"/>
    <w:rsid w:val="008436E5"/>
    <w:rsid w:val="00880855"/>
    <w:rsid w:val="008932AF"/>
    <w:rsid w:val="008B1FD7"/>
    <w:rsid w:val="008E404F"/>
    <w:rsid w:val="009065DB"/>
    <w:rsid w:val="00920571"/>
    <w:rsid w:val="00934001"/>
    <w:rsid w:val="00934D26"/>
    <w:rsid w:val="00937654"/>
    <w:rsid w:val="00964A3F"/>
    <w:rsid w:val="00976B53"/>
    <w:rsid w:val="00983288"/>
    <w:rsid w:val="00983EBE"/>
    <w:rsid w:val="00992D43"/>
    <w:rsid w:val="009978E1"/>
    <w:rsid w:val="009A198F"/>
    <w:rsid w:val="009A206A"/>
    <w:rsid w:val="009A5061"/>
    <w:rsid w:val="009A5CF5"/>
    <w:rsid w:val="009F3C3A"/>
    <w:rsid w:val="00A15A58"/>
    <w:rsid w:val="00A20180"/>
    <w:rsid w:val="00A26367"/>
    <w:rsid w:val="00A31415"/>
    <w:rsid w:val="00A31664"/>
    <w:rsid w:val="00A41F2C"/>
    <w:rsid w:val="00A42A91"/>
    <w:rsid w:val="00A51DED"/>
    <w:rsid w:val="00A53973"/>
    <w:rsid w:val="00A55103"/>
    <w:rsid w:val="00A7249D"/>
    <w:rsid w:val="00A775A4"/>
    <w:rsid w:val="00A872A9"/>
    <w:rsid w:val="00A913F2"/>
    <w:rsid w:val="00A930C9"/>
    <w:rsid w:val="00AA360B"/>
    <w:rsid w:val="00AA6A3C"/>
    <w:rsid w:val="00AA7669"/>
    <w:rsid w:val="00AC53E1"/>
    <w:rsid w:val="00AD2F1F"/>
    <w:rsid w:val="00AE310F"/>
    <w:rsid w:val="00AE651B"/>
    <w:rsid w:val="00B0013C"/>
    <w:rsid w:val="00B06DA0"/>
    <w:rsid w:val="00B079F0"/>
    <w:rsid w:val="00B168E2"/>
    <w:rsid w:val="00B53E96"/>
    <w:rsid w:val="00B545A0"/>
    <w:rsid w:val="00B62840"/>
    <w:rsid w:val="00B74D35"/>
    <w:rsid w:val="00B80C7E"/>
    <w:rsid w:val="00B85431"/>
    <w:rsid w:val="00B85814"/>
    <w:rsid w:val="00B86E9B"/>
    <w:rsid w:val="00B91630"/>
    <w:rsid w:val="00B926D8"/>
    <w:rsid w:val="00B96EE6"/>
    <w:rsid w:val="00BA1AE8"/>
    <w:rsid w:val="00BA63EE"/>
    <w:rsid w:val="00BB075D"/>
    <w:rsid w:val="00BC4005"/>
    <w:rsid w:val="00BD38D2"/>
    <w:rsid w:val="00BD674D"/>
    <w:rsid w:val="00C04996"/>
    <w:rsid w:val="00C1252D"/>
    <w:rsid w:val="00C17DEC"/>
    <w:rsid w:val="00C20713"/>
    <w:rsid w:val="00C35C1E"/>
    <w:rsid w:val="00C37FA3"/>
    <w:rsid w:val="00C60957"/>
    <w:rsid w:val="00C63046"/>
    <w:rsid w:val="00C648BF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18AA"/>
    <w:rsid w:val="00CD6E09"/>
    <w:rsid w:val="00CE453A"/>
    <w:rsid w:val="00D52CD2"/>
    <w:rsid w:val="00D55B5E"/>
    <w:rsid w:val="00D61620"/>
    <w:rsid w:val="00D777A6"/>
    <w:rsid w:val="00D814B8"/>
    <w:rsid w:val="00D82080"/>
    <w:rsid w:val="00D84945"/>
    <w:rsid w:val="00D93122"/>
    <w:rsid w:val="00DB3121"/>
    <w:rsid w:val="00DB3A5E"/>
    <w:rsid w:val="00DC2AE8"/>
    <w:rsid w:val="00DC6C01"/>
    <w:rsid w:val="00DE3B10"/>
    <w:rsid w:val="00DF5460"/>
    <w:rsid w:val="00E01477"/>
    <w:rsid w:val="00E01AB1"/>
    <w:rsid w:val="00E03FB2"/>
    <w:rsid w:val="00E11DA4"/>
    <w:rsid w:val="00E16E32"/>
    <w:rsid w:val="00E240AA"/>
    <w:rsid w:val="00E25BC9"/>
    <w:rsid w:val="00E317F5"/>
    <w:rsid w:val="00E51E0B"/>
    <w:rsid w:val="00E61C8B"/>
    <w:rsid w:val="00E70D3B"/>
    <w:rsid w:val="00E90717"/>
    <w:rsid w:val="00EB55B1"/>
    <w:rsid w:val="00EC25E4"/>
    <w:rsid w:val="00EC2DFA"/>
    <w:rsid w:val="00EC4F69"/>
    <w:rsid w:val="00EC55C9"/>
    <w:rsid w:val="00EC77BA"/>
    <w:rsid w:val="00EC7F26"/>
    <w:rsid w:val="00ED5B75"/>
    <w:rsid w:val="00EE06AC"/>
    <w:rsid w:val="00EE32BD"/>
    <w:rsid w:val="00EE6219"/>
    <w:rsid w:val="00EF78F0"/>
    <w:rsid w:val="00F00AA9"/>
    <w:rsid w:val="00F01620"/>
    <w:rsid w:val="00F01FA4"/>
    <w:rsid w:val="00F06C6B"/>
    <w:rsid w:val="00F24323"/>
    <w:rsid w:val="00F47059"/>
    <w:rsid w:val="00F605D4"/>
    <w:rsid w:val="00F60FAB"/>
    <w:rsid w:val="00F624C5"/>
    <w:rsid w:val="00F65F32"/>
    <w:rsid w:val="00F7381D"/>
    <w:rsid w:val="00F87DCE"/>
    <w:rsid w:val="00F87E1D"/>
    <w:rsid w:val="00FA5E4B"/>
    <w:rsid w:val="00FA7575"/>
    <w:rsid w:val="00FB3DBD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C2AC4-3FA7-4A26-ADBF-99731275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4</cp:revision>
  <cp:lastPrinted>2015-07-23T03:38:00Z</cp:lastPrinted>
  <dcterms:created xsi:type="dcterms:W3CDTF">2015-07-22T03:35:00Z</dcterms:created>
  <dcterms:modified xsi:type="dcterms:W3CDTF">2015-07-23T03:38:00Z</dcterms:modified>
</cp:coreProperties>
</file>