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F0" w:rsidRPr="00A552AE" w:rsidRDefault="00E232F0" w:rsidP="00A750DE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E232F0">
        <w:rPr>
          <w:highlight w:val="lightGray"/>
        </w:rPr>
        <w:t>8</w:t>
      </w:r>
      <w:r>
        <w:t xml:space="preserve"> </w:t>
      </w:r>
    </w:p>
    <w:p w:rsidR="00E232F0" w:rsidRDefault="00E232F0" w:rsidP="00A750DE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925A95">
        <w:t>15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E232F0">
        <w:tc>
          <w:tcPr>
            <w:tcW w:w="8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>)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15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51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9002E">
              <w:rPr>
                <w:sz w:val="22"/>
                <w:highlight w:val="lightGray"/>
              </w:rPr>
              <w:t>Славнефть</w:t>
            </w:r>
            <w:proofErr w:type="spellEnd"/>
            <w:r w:rsidRPr="0009002E">
              <w:rPr>
                <w:sz w:val="22"/>
                <w:highlight w:val="lightGray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54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10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24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16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План экстренного медицинского реагирования в открытом акционерном обществе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35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A750DE" w:rsidP="0033777E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32</w:t>
            </w:r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09002E" w:rsidRDefault="00925A95" w:rsidP="00647702">
            <w:pPr>
              <w:jc w:val="left"/>
              <w:rPr>
                <w:b/>
                <w:bCs/>
                <w:highlight w:val="lightGray"/>
              </w:rPr>
            </w:pPr>
            <w:r w:rsidRPr="0009002E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  <w:rPr>
                <w:bCs/>
              </w:rPr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09002E" w:rsidRDefault="00925A95" w:rsidP="00647702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A552AE" w:rsidRDefault="00925A95" w:rsidP="00647702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</w:pPr>
          </w:p>
        </w:tc>
        <w:tc>
          <w:tcPr>
            <w:tcW w:w="4444" w:type="dxa"/>
          </w:tcPr>
          <w:p w:rsidR="00925A95" w:rsidRPr="00A552AE" w:rsidRDefault="00925A95" w:rsidP="00647702">
            <w:r w:rsidRPr="0009002E">
              <w:rPr>
                <w:highlight w:val="lightGray"/>
              </w:rPr>
              <w:t>______________________</w:t>
            </w:r>
          </w:p>
        </w:tc>
      </w:tr>
      <w:tr w:rsidR="00925A95" w:rsidRPr="002A39A3" w:rsidTr="0033777E">
        <w:trPr>
          <w:trHeight w:val="182"/>
        </w:trPr>
        <w:tc>
          <w:tcPr>
            <w:tcW w:w="4728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</w:tc>
        <w:tc>
          <w:tcPr>
            <w:tcW w:w="4444" w:type="dxa"/>
          </w:tcPr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</w:p>
          <w:p w:rsidR="00925A95" w:rsidRPr="00A552AE" w:rsidRDefault="00925A95" w:rsidP="00647702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925A95" w:rsidRPr="00A80475" w:rsidTr="006C13FC">
        <w:trPr>
          <w:trHeight w:val="182"/>
        </w:trPr>
        <w:tc>
          <w:tcPr>
            <w:tcW w:w="4728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720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444" w:type="dxa"/>
            <w:vAlign w:val="bottom"/>
          </w:tcPr>
          <w:p w:rsidR="00925A95" w:rsidRPr="0009002E" w:rsidRDefault="00925A95" w:rsidP="00647702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23667B"/>
    <w:rsid w:val="003719CE"/>
    <w:rsid w:val="00925A95"/>
    <w:rsid w:val="00A750DE"/>
    <w:rsid w:val="00BB3966"/>
    <w:rsid w:val="00C20175"/>
    <w:rsid w:val="00E2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2015-01-15T08:34:00Z</dcterms:created>
  <dcterms:modified xsi:type="dcterms:W3CDTF">2015-01-15T08:34:00Z</dcterms:modified>
</cp:coreProperties>
</file>