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2D4508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>Приложение_</w:t>
      </w:r>
      <w:r w:rsidR="00AB5D4F">
        <w:rPr>
          <w:rFonts w:ascii="Times New Roman" w:hAnsi="Times New Roman"/>
          <w:sz w:val="24"/>
          <w:highlight w:val="lightGray"/>
        </w:rPr>
        <w:t>7</w:t>
      </w:r>
      <w:r w:rsidRPr="00D85D6E">
        <w:rPr>
          <w:rFonts w:ascii="Times New Roman" w:hAnsi="Times New Roman"/>
          <w:sz w:val="24"/>
          <w:highlight w:val="lightGray"/>
        </w:rPr>
        <w:t>__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D85D6E" w:rsidRDefault="002D4508" w:rsidP="002D4508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85D6E">
        <w:rPr>
          <w:rFonts w:ascii="Times New Roman" w:hAnsi="Times New Roman"/>
          <w:sz w:val="24"/>
          <w:highlight w:val="lightGray"/>
        </w:rPr>
        <w:t xml:space="preserve">– </w:t>
      </w:r>
      <w:r w:rsidRPr="00D85D6E">
        <w:rPr>
          <w:rFonts w:ascii="Times New Roman" w:hAnsi="Times New Roman"/>
          <w:b/>
          <w:sz w:val="24"/>
          <w:highlight w:val="lightGray"/>
        </w:rPr>
        <w:t>передачи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D85D6E">
        <w:rPr>
          <w:rFonts w:ascii="Times New Roman" w:hAnsi="Times New Roman"/>
          <w:b/>
          <w:bCs/>
          <w:sz w:val="24"/>
          <w:highlight w:val="lightGray"/>
        </w:rPr>
        <w:t>Локальных нормативных актов Заказчика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7B141A" w:rsidRPr="001220DE" w:rsidTr="00D12E15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B141A" w:rsidRPr="001220DE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220DE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7B141A" w:rsidRPr="001220DE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220DE">
              <w:rPr>
                <w:rFonts w:ascii="Times New Roman" w:hAnsi="Times New Roman"/>
                <w:sz w:val="20"/>
                <w:szCs w:val="20"/>
                <w:lang w:val="uk-UA"/>
              </w:rPr>
              <w:t>п/</w:t>
            </w:r>
            <w:proofErr w:type="spellStart"/>
            <w:r w:rsidRPr="001220DE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B141A" w:rsidRPr="001220DE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1220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1220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B141A" w:rsidRPr="001220DE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1220DE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7B141A" w:rsidRPr="001220DE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220DE"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proofErr w:type="spellStart"/>
            <w:r w:rsidRPr="001220DE">
              <w:rPr>
                <w:rFonts w:ascii="Times New Roman" w:hAnsi="Times New Roman"/>
                <w:sz w:val="20"/>
                <w:szCs w:val="20"/>
                <w:lang w:val="uk-UA"/>
              </w:rPr>
              <w:t>кол-во</w:t>
            </w:r>
            <w:proofErr w:type="spellEnd"/>
            <w:r w:rsidRPr="001220D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220DE">
              <w:rPr>
                <w:rFonts w:ascii="Times New Roman" w:hAnsi="Times New Roman"/>
                <w:sz w:val="20"/>
                <w:szCs w:val="20"/>
                <w:lang w:val="uk-UA"/>
              </w:rPr>
              <w:t>листов</w:t>
            </w:r>
            <w:proofErr w:type="spellEnd"/>
            <w:r w:rsidRPr="001220DE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</w:tr>
      <w:tr w:rsidR="007B141A" w:rsidRPr="001220DE" w:rsidTr="00D12E15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1220DE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B604C">
              <w:rPr>
                <w:rFonts w:ascii="Times New Roman" w:hAnsi="Times New Roman"/>
                <w:sz w:val="20"/>
                <w:szCs w:val="20"/>
              </w:rPr>
              <w:t xml:space="preserve">Положение о контрольно-пропускных пунктах открытого акционерного общества «Славнефть-Мегионнефтегаз»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B604C">
              <w:rPr>
                <w:rFonts w:ascii="Times New Roman" w:hAnsi="Times New Roman"/>
                <w:sz w:val="20"/>
                <w:szCs w:val="20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72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B604C">
              <w:rPr>
                <w:rFonts w:ascii="Times New Roman" w:hAnsi="Times New Roman"/>
                <w:sz w:val="20"/>
                <w:szCs w:val="20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67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B604C">
              <w:rPr>
                <w:rFonts w:ascii="Times New Roman" w:hAnsi="Times New Roman"/>
                <w:sz w:val="20"/>
                <w:szCs w:val="20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23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B604C">
              <w:rPr>
                <w:rFonts w:ascii="Times New Roman" w:hAnsi="Times New Roman"/>
                <w:sz w:val="20"/>
                <w:szCs w:val="20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9B604C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30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B604C">
              <w:rPr>
                <w:rFonts w:ascii="Times New Roman" w:hAnsi="Times New Roman"/>
                <w:sz w:val="20"/>
                <w:szCs w:val="20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18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sz w:val="20"/>
                <w:szCs w:val="20"/>
              </w:rPr>
              <w:t>Процедура «Контроль употребления алкоголя, наркотических и токсических веществ</w:t>
            </w:r>
            <w:r w:rsidRPr="009B604C"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32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B604C">
              <w:rPr>
                <w:rFonts w:ascii="Times New Roman" w:hAnsi="Times New Roman"/>
                <w:bCs/>
                <w:sz w:val="20"/>
                <w:szCs w:val="20"/>
              </w:rPr>
              <w:t xml:space="preserve">Изменение 1 к </w:t>
            </w:r>
            <w:r w:rsidRPr="009B604C">
              <w:rPr>
                <w:rFonts w:ascii="Times New Roman" w:hAnsi="Times New Roman"/>
                <w:sz w:val="20"/>
                <w:szCs w:val="20"/>
              </w:rPr>
              <w:t xml:space="preserve"> Процедуре «Контроль употребления алкоголя, наркотических и токсических веществ</w:t>
            </w:r>
            <w:r w:rsidRPr="009B604C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9.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B604C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36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10.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Стандарт «</w:t>
            </w:r>
            <w:r w:rsidRPr="009B604C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Методические указания по установлению Жизненно важных правил безопасного ведения работ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9B604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по территории месторождений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9B604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Стандарт организации «Основные нормативные требования к оформлению объектов подготовки, перекачки нефти и газа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9B604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Положение о </w:t>
            </w:r>
            <w:proofErr w:type="gramStart"/>
            <w:r w:rsidRPr="009B604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пропускном</w:t>
            </w:r>
            <w:proofErr w:type="gramEnd"/>
            <w:r w:rsidRPr="009B604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9B604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внутриобъектовом</w:t>
            </w:r>
            <w:proofErr w:type="spellEnd"/>
            <w:r w:rsidRPr="009B604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режимах на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B141A" w:rsidRPr="001220DE" w:rsidTr="00D12E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  <w:r w:rsidRPr="009B604C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9B604C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Инструкция по обращению с отходами производства и потребления в открытом акционерном обществе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41A" w:rsidRPr="009B604C" w:rsidRDefault="007B141A" w:rsidP="00D12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604C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D4508" w:rsidRPr="00A23A5D" w:rsidRDefault="002D4508" w:rsidP="002D4508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</w:rPr>
      </w:pPr>
    </w:p>
    <w:p w:rsidR="007B141A" w:rsidRDefault="007B141A" w:rsidP="002D450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85D6E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Pr="000E0688" w:rsidRDefault="00B62185" w:rsidP="000E0688">
      <w:pPr>
        <w:rPr>
          <w:sz w:val="4"/>
        </w:rPr>
      </w:pPr>
      <w:bookmarkStart w:id="0" w:name="_GoBack"/>
      <w:bookmarkEnd w:id="0"/>
    </w:p>
    <w:sectPr w:rsidR="00B62185" w:rsidRPr="000E0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0E0688"/>
    <w:rsid w:val="00125A22"/>
    <w:rsid w:val="002D4508"/>
    <w:rsid w:val="003403F0"/>
    <w:rsid w:val="00782975"/>
    <w:rsid w:val="007B141A"/>
    <w:rsid w:val="009471A4"/>
    <w:rsid w:val="00AB5D4F"/>
    <w:rsid w:val="00B62185"/>
    <w:rsid w:val="00C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Евгений Александрович Букетов</cp:lastModifiedBy>
  <cp:revision>8</cp:revision>
  <dcterms:created xsi:type="dcterms:W3CDTF">2014-11-25T08:02:00Z</dcterms:created>
  <dcterms:modified xsi:type="dcterms:W3CDTF">2016-09-07T08:37:00Z</dcterms:modified>
</cp:coreProperties>
</file>