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30184"/>
    <w:p w:rsidR="00D30184" w:rsidRDefault="00D30184" w:rsidP="00D3018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1B773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</w:t>
            </w:r>
            <w:r w:rsidR="001B7730">
              <w:rPr>
                <w:rFonts w:ascii="Times New Roman" w:hAnsi="Times New Roman"/>
                <w:sz w:val="24"/>
              </w:rPr>
              <w:t>350</w:t>
            </w:r>
            <w:r>
              <w:rPr>
                <w:rFonts w:ascii="Times New Roman" w:hAnsi="Times New Roman"/>
                <w:sz w:val="24"/>
              </w:rPr>
              <w:t>__ от «__</w:t>
            </w:r>
            <w:r w:rsidR="001B7730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_»___</w:t>
            </w:r>
            <w:r w:rsidR="001B7730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ED7A97">
      <w:pPr>
        <w:rPr>
          <w:rFonts w:ascii="Times New Roman" w:hAnsi="Times New Roman"/>
          <w:sz w:val="24"/>
        </w:rPr>
      </w:pPr>
    </w:p>
    <w:p w:rsidR="00FC20F9" w:rsidRDefault="00FC20F9" w:rsidP="00ED7A97">
      <w:pPr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835FB2">
        <w:rPr>
          <w:rFonts w:ascii="Times New Roman" w:hAnsi="Times New Roman"/>
          <w:b/>
          <w:sz w:val="24"/>
        </w:rPr>
        <w:t>5</w:t>
      </w:r>
      <w:r w:rsidR="00370445">
        <w:rPr>
          <w:rFonts w:ascii="Times New Roman" w:hAnsi="Times New Roman"/>
          <w:b/>
          <w:sz w:val="24"/>
        </w:rPr>
        <w:t>30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1B7730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»___</w:t>
      </w:r>
      <w:r w:rsidR="001B7730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ED7A97">
      <w:pPr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3816B5" w:rsidRDefault="00FC20F9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</w:t>
      </w:r>
      <w:r w:rsidR="004F20D8" w:rsidRPr="000B7110">
        <w:rPr>
          <w:rFonts w:ascii="Times New Roman" w:hAnsi="Times New Roman"/>
          <w:b/>
          <w:sz w:val="24"/>
        </w:rPr>
        <w:t>комплекса услуг по технической диагностике УЭЦН</w:t>
      </w:r>
      <w:r w:rsidR="00B244D0" w:rsidRPr="006042B0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EE683E">
      <w:pPr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EE683E">
      <w:pPr>
        <w:pStyle w:val="a"/>
        <w:numPr>
          <w:ilvl w:val="0"/>
          <w:numId w:val="0"/>
        </w:numPr>
        <w:tabs>
          <w:tab w:val="left" w:pos="284"/>
        </w:tabs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Pr="00F85B41">
        <w:rPr>
          <w:rFonts w:ascii="Times New Roman" w:hAnsi="Times New Roman"/>
          <w:sz w:val="24"/>
          <w:szCs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EE683E">
      <w:pPr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</w:t>
      </w:r>
      <w:r w:rsidR="00D71D86">
        <w:rPr>
          <w:rFonts w:ascii="Times New Roman" w:hAnsi="Times New Roman"/>
          <w:sz w:val="24"/>
        </w:rPr>
        <w:t xml:space="preserve">и офертами со сроком акцепта до </w:t>
      </w:r>
      <w:r w:rsidR="00D71D86" w:rsidRPr="00D71D86">
        <w:rPr>
          <w:rFonts w:ascii="Times New Roman" w:hAnsi="Times New Roman"/>
          <w:b/>
          <w:sz w:val="24"/>
        </w:rPr>
        <w:t>31</w:t>
      </w:r>
      <w:r w:rsidR="006F78FA">
        <w:rPr>
          <w:rFonts w:ascii="Times New Roman" w:hAnsi="Times New Roman"/>
          <w:b/>
          <w:sz w:val="24"/>
        </w:rPr>
        <w:t>.</w:t>
      </w:r>
      <w:r w:rsidR="007A7E9F">
        <w:rPr>
          <w:rFonts w:ascii="Times New Roman" w:hAnsi="Times New Roman"/>
          <w:b/>
          <w:sz w:val="24"/>
        </w:rPr>
        <w:t>03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7A7E9F">
        <w:rPr>
          <w:rFonts w:ascii="Times New Roman" w:hAnsi="Times New Roman"/>
          <w:b/>
          <w:sz w:val="24"/>
        </w:rPr>
        <w:t>6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D325C6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D325C6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Покупатель 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3816B5">
        <w:rPr>
          <w:rFonts w:ascii="Times New Roman" w:hAnsi="Times New Roman"/>
          <w:sz w:val="24"/>
        </w:rPr>
        <w:t xml:space="preserve"> (-) </w:t>
      </w:r>
      <w:proofErr w:type="gramEnd"/>
      <w:r w:rsidRPr="003816B5">
        <w:rPr>
          <w:rFonts w:ascii="Times New Roman" w:hAnsi="Times New Roman"/>
          <w:sz w:val="24"/>
        </w:rPr>
        <w:t xml:space="preserve">или увеличивать (+) количество поставляемого объема оказываемых услуг в пределах согласованного количества без изменения </w:t>
      </w:r>
      <w:r w:rsidRPr="003816B5">
        <w:rPr>
          <w:rFonts w:ascii="Times New Roman" w:hAnsi="Times New Roman"/>
          <w:sz w:val="24"/>
        </w:rPr>
        <w:lastRenderedPageBreak/>
        <w:t>остальных условий, в том числе без изменения цен, сроков поставки, согласованных Сторонами в Приложениях (см. п.</w:t>
      </w:r>
      <w:r w:rsidR="000E2CC2">
        <w:rPr>
          <w:rFonts w:ascii="Times New Roman" w:hAnsi="Times New Roman"/>
          <w:sz w:val="24"/>
        </w:rPr>
        <w:t>3</w:t>
      </w:r>
      <w:r w:rsidR="00B244D0">
        <w:rPr>
          <w:rFonts w:ascii="Times New Roman" w:hAnsi="Times New Roman"/>
          <w:sz w:val="24"/>
        </w:rPr>
        <w:t>.</w:t>
      </w:r>
      <w:r w:rsidR="001867C2">
        <w:rPr>
          <w:rFonts w:ascii="Times New Roman" w:hAnsi="Times New Roman"/>
          <w:sz w:val="24"/>
        </w:rPr>
        <w:t>9</w:t>
      </w:r>
      <w:r w:rsidR="00B244D0">
        <w:rPr>
          <w:rFonts w:ascii="Times New Roman" w:hAnsi="Times New Roman"/>
          <w:sz w:val="24"/>
        </w:rPr>
        <w:t xml:space="preserve">. </w:t>
      </w:r>
      <w:r w:rsidR="00C13F3F">
        <w:rPr>
          <w:rFonts w:ascii="Times New Roman" w:hAnsi="Times New Roman"/>
          <w:sz w:val="24"/>
        </w:rPr>
        <w:t>типового договора, форма</w:t>
      </w:r>
      <w:r w:rsidRPr="003816B5">
        <w:rPr>
          <w:rFonts w:ascii="Times New Roman" w:hAnsi="Times New Roman"/>
          <w:sz w:val="24"/>
        </w:rPr>
        <w:t xml:space="preserve"> №</w:t>
      </w:r>
      <w:r w:rsidR="00B244D0">
        <w:rPr>
          <w:rFonts w:ascii="Times New Roman" w:hAnsi="Times New Roman"/>
          <w:sz w:val="24"/>
        </w:rPr>
        <w:t>6</w:t>
      </w:r>
      <w:r w:rsidRPr="003816B5">
        <w:rPr>
          <w:rFonts w:ascii="Times New Roman" w:hAnsi="Times New Roman"/>
          <w:sz w:val="24"/>
        </w:rPr>
        <w:t xml:space="preserve"> к настоящему ПДО).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1B7730">
        <w:rPr>
          <w:rFonts w:ascii="Times New Roman" w:hAnsi="Times New Roman"/>
          <w:b/>
          <w:sz w:val="24"/>
        </w:rPr>
        <w:t>26</w:t>
      </w:r>
      <w:r w:rsidRPr="003816B5">
        <w:rPr>
          <w:rFonts w:ascii="Times New Roman" w:hAnsi="Times New Roman"/>
          <w:b/>
          <w:sz w:val="24"/>
        </w:rPr>
        <w:t>» ___</w:t>
      </w:r>
      <w:r w:rsidR="001B7730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1B7730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>_» __</w:t>
      </w:r>
      <w:r w:rsidR="001B7730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D71D86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A7E9F">
        <w:rPr>
          <w:rFonts w:ascii="Times New Roman" w:hAnsi="Times New Roman"/>
          <w:b/>
          <w:sz w:val="24"/>
        </w:rPr>
        <w:t>марта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7A7E9F">
        <w:rPr>
          <w:rFonts w:ascii="Times New Roman" w:hAnsi="Times New Roman"/>
          <w:b/>
          <w:sz w:val="24"/>
        </w:rPr>
        <w:t>6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835FB2">
        <w:rPr>
          <w:rFonts w:ascii="Times New Roman" w:hAnsi="Times New Roman"/>
          <w:b/>
          <w:sz w:val="24"/>
        </w:rPr>
        <w:t>5</w:t>
      </w:r>
      <w:r w:rsidR="00370445">
        <w:rPr>
          <w:rFonts w:ascii="Times New Roman" w:hAnsi="Times New Roman"/>
          <w:b/>
          <w:sz w:val="24"/>
        </w:rPr>
        <w:t>30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22055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="00111276">
        <w:rPr>
          <w:rFonts w:ascii="Times New Roman" w:hAnsi="Times New Roman"/>
          <w:sz w:val="24"/>
        </w:rPr>
        <w:t>: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1867C2">
        <w:rPr>
          <w:rFonts w:ascii="Times New Roman" w:hAnsi="Times New Roman"/>
          <w:sz w:val="24"/>
        </w:rPr>
        <w:t>10</w:t>
      </w:r>
      <w:r w:rsidR="004F20D8">
        <w:rPr>
          <w:rFonts w:ascii="Times New Roman" w:hAnsi="Times New Roman"/>
          <w:sz w:val="24"/>
        </w:rPr>
        <w:t>09</w:t>
      </w:r>
      <w:r w:rsidR="001867C2">
        <w:rPr>
          <w:rFonts w:ascii="Times New Roman" w:hAnsi="Times New Roman"/>
          <w:sz w:val="24"/>
        </w:rPr>
        <w:t xml:space="preserve"> «</w:t>
      </w:r>
      <w:r w:rsidR="004F20D8" w:rsidRPr="000B7110">
        <w:rPr>
          <w:rFonts w:ascii="Times New Roman" w:hAnsi="Times New Roman"/>
          <w:sz w:val="24"/>
        </w:rPr>
        <w:t>Оказание комплекса услуг по технической диагностике УЭЦН</w:t>
      </w:r>
      <w:r w:rsidR="001867C2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325C6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r w:rsidRPr="00D25316">
        <w:rPr>
          <w:rFonts w:ascii="Times New Roman" w:hAnsi="Times New Roman"/>
          <w:sz w:val="24"/>
        </w:rPr>
        <w:t xml:space="preserve"> 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</w:t>
      </w:r>
      <w:r w:rsidR="000E2CC2">
        <w:rPr>
          <w:rFonts w:ascii="Times New Roman" w:hAnsi="Times New Roman"/>
          <w:sz w:val="24"/>
        </w:rPr>
        <w:t>ми к предмету оферты (Форма 5)</w:t>
      </w:r>
      <w:r w:rsidRPr="00D25316">
        <w:rPr>
          <w:rFonts w:ascii="Times New Roman" w:hAnsi="Times New Roman"/>
          <w:sz w:val="24"/>
        </w:rPr>
        <w:t>, перечень аффилированных организаций (Форм</w:t>
      </w:r>
      <w:r w:rsidR="00D325C6">
        <w:rPr>
          <w:rFonts w:ascii="Times New Roman" w:hAnsi="Times New Roman"/>
          <w:sz w:val="24"/>
        </w:rPr>
        <w:t>а 7)</w:t>
      </w:r>
      <w:r w:rsidRPr="00C362D8">
        <w:rPr>
          <w:rFonts w:ascii="Times New Roman" w:hAnsi="Times New Roman"/>
          <w:sz w:val="24"/>
        </w:rPr>
        <w:t xml:space="preserve">;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D325C6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111276">
        <w:rPr>
          <w:rFonts w:ascii="Times New Roman" w:hAnsi="Times New Roman"/>
          <w:sz w:val="24"/>
        </w:rPr>
        <w:t>;</w:t>
      </w:r>
      <w:proofErr w:type="gramEnd"/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111276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>В конверт с пометкой «Оригинал»</w:t>
      </w:r>
      <w:r w:rsidR="00111276">
        <w:rPr>
          <w:rFonts w:ascii="Times New Roman" w:hAnsi="Times New Roman"/>
          <w:sz w:val="24"/>
        </w:rPr>
        <w:t>:</w:t>
      </w:r>
    </w:p>
    <w:p w:rsidR="00111276" w:rsidRDefault="005729DF" w:rsidP="00B00112">
      <w:pPr>
        <w:ind w:firstLine="708"/>
        <w:jc w:val="both"/>
        <w:rPr>
          <w:rFonts w:ascii="Times New Roman" w:hAnsi="Times New Roman"/>
          <w:sz w:val="24"/>
        </w:rPr>
      </w:pPr>
      <w:r w:rsidRPr="005729DF">
        <w:rPr>
          <w:rFonts w:ascii="Times New Roman" w:hAnsi="Times New Roman"/>
          <w:sz w:val="24"/>
          <w:u w:val="single"/>
        </w:rPr>
        <w:t>т</w:t>
      </w:r>
      <w:r w:rsidR="00111276" w:rsidRPr="005729DF">
        <w:rPr>
          <w:rFonts w:ascii="Times New Roman" w:hAnsi="Times New Roman"/>
          <w:sz w:val="24"/>
          <w:u w:val="single"/>
        </w:rPr>
        <w:t>ехнической</w:t>
      </w:r>
      <w:r w:rsidR="00111276">
        <w:rPr>
          <w:rFonts w:ascii="Times New Roman" w:hAnsi="Times New Roman"/>
          <w:sz w:val="24"/>
        </w:rPr>
        <w:t xml:space="preserve"> части вкладывается диск с </w:t>
      </w:r>
      <w:r>
        <w:rPr>
          <w:rFonts w:ascii="Times New Roman" w:hAnsi="Times New Roman"/>
          <w:sz w:val="24"/>
        </w:rPr>
        <w:t>отсканированными</w:t>
      </w:r>
      <w:r w:rsidR="00111276"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оригинал</w:t>
      </w:r>
      <w:r>
        <w:rPr>
          <w:rFonts w:ascii="Times New Roman" w:hAnsi="Times New Roman"/>
          <w:sz w:val="24"/>
        </w:rPr>
        <w:t>ами</w:t>
      </w:r>
      <w:r w:rsidRPr="00D25316">
        <w:rPr>
          <w:rFonts w:ascii="Times New Roman" w:hAnsi="Times New Roman"/>
          <w:sz w:val="24"/>
        </w:rPr>
        <w:t xml:space="preserve"> или надлежащим образом заверенны</w:t>
      </w:r>
      <w:r>
        <w:rPr>
          <w:rFonts w:ascii="Times New Roman" w:hAnsi="Times New Roman"/>
          <w:sz w:val="24"/>
        </w:rPr>
        <w:t>ми</w:t>
      </w:r>
      <w:r w:rsidRPr="00D25316">
        <w:rPr>
          <w:rFonts w:ascii="Times New Roman" w:hAnsi="Times New Roman"/>
          <w:sz w:val="24"/>
        </w:rPr>
        <w:t xml:space="preserve"> копи</w:t>
      </w:r>
      <w:r>
        <w:rPr>
          <w:rFonts w:ascii="Times New Roman" w:hAnsi="Times New Roman"/>
          <w:sz w:val="24"/>
        </w:rPr>
        <w:t>ями</w:t>
      </w:r>
      <w:r w:rsidRPr="00D25316">
        <w:rPr>
          <w:rFonts w:ascii="Times New Roman" w:hAnsi="Times New Roman"/>
          <w:sz w:val="24"/>
        </w:rPr>
        <w:t xml:space="preserve"> документов</w:t>
      </w:r>
      <w:r>
        <w:rPr>
          <w:rFonts w:ascii="Times New Roman" w:hAnsi="Times New Roman"/>
          <w:sz w:val="24"/>
        </w:rPr>
        <w:t xml:space="preserve"> (содержащимися в конверте);</w:t>
      </w:r>
    </w:p>
    <w:p w:rsidR="005729DF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</w:t>
      </w:r>
      <w:r w:rsidR="005729DF">
        <w:rPr>
          <w:rFonts w:ascii="Times New Roman" w:hAnsi="Times New Roman"/>
          <w:sz w:val="24"/>
        </w:rPr>
        <w:t>тов (содержащимися в конверте).</w:t>
      </w:r>
    </w:p>
    <w:p w:rsidR="00B00112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B00112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628684, ХМАО-Югра, г. </w:t>
      </w:r>
      <w:proofErr w:type="spellStart"/>
      <w:r w:rsidRPr="0052440E">
        <w:rPr>
          <w:rFonts w:ascii="Times New Roman" w:hAnsi="Times New Roman"/>
          <w:sz w:val="24"/>
        </w:rPr>
        <w:t>Мегион</w:t>
      </w:r>
      <w:proofErr w:type="spellEnd"/>
      <w:r w:rsidRPr="0052440E">
        <w:rPr>
          <w:rFonts w:ascii="Times New Roman" w:hAnsi="Times New Roman"/>
          <w:sz w:val="24"/>
        </w:rPr>
        <w:t>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</w:t>
      </w:r>
      <w:r w:rsidR="001B7730">
        <w:rPr>
          <w:rFonts w:ascii="Times New Roman" w:hAnsi="Times New Roman"/>
          <w:sz w:val="24"/>
        </w:rPr>
        <w:t>03</w:t>
      </w:r>
      <w:r w:rsidRPr="0056778A">
        <w:rPr>
          <w:rFonts w:ascii="Times New Roman" w:hAnsi="Times New Roman"/>
          <w:sz w:val="24"/>
        </w:rPr>
        <w:t>__» ____</w:t>
      </w:r>
      <w:r w:rsidR="001B7730">
        <w:rPr>
          <w:rFonts w:ascii="Times New Roman" w:hAnsi="Times New Roman"/>
          <w:sz w:val="24"/>
        </w:rPr>
        <w:t>09</w:t>
      </w:r>
      <w:r w:rsidRPr="0056778A">
        <w:rPr>
          <w:rFonts w:ascii="Times New Roman" w:hAnsi="Times New Roman"/>
          <w:sz w:val="24"/>
        </w:rPr>
        <w:t>____________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4F20D8" w:rsidRDefault="004F20D8" w:rsidP="00ED7A97">
      <w:pPr>
        <w:ind w:firstLine="708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 xml:space="preserve">Шамсутдинов </w:t>
      </w:r>
      <w:proofErr w:type="spellStart"/>
      <w:r w:rsidRPr="004F20D8">
        <w:rPr>
          <w:rFonts w:ascii="Times New Roman" w:hAnsi="Times New Roman"/>
          <w:sz w:val="24"/>
        </w:rPr>
        <w:t>Нафис</w:t>
      </w:r>
      <w:proofErr w:type="spellEnd"/>
      <w:r w:rsidRPr="004F20D8">
        <w:rPr>
          <w:rFonts w:ascii="Times New Roman" w:hAnsi="Times New Roman"/>
          <w:sz w:val="24"/>
        </w:rPr>
        <w:t xml:space="preserve"> </w:t>
      </w:r>
      <w:proofErr w:type="spellStart"/>
      <w:r w:rsidRPr="004F20D8">
        <w:rPr>
          <w:rFonts w:ascii="Times New Roman" w:hAnsi="Times New Roman"/>
          <w:sz w:val="24"/>
        </w:rPr>
        <w:t>Ринатович</w:t>
      </w:r>
      <w:proofErr w:type="spellEnd"/>
      <w:r>
        <w:rPr>
          <w:rFonts w:ascii="Times New Roman" w:hAnsi="Times New Roman"/>
          <w:sz w:val="24"/>
        </w:rPr>
        <w:t xml:space="preserve">, тел.: 8(34643)46-368,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ShamsutdinovNR</w:t>
      </w:r>
      <w:proofErr w:type="spellEnd"/>
      <w:r>
        <w:fldChar w:fldCharType="begin"/>
      </w:r>
      <w:r>
        <w:instrText xml:space="preserve"> HYPERLINK "mailto:ShatalovVV@mng.slavneft.ru" </w:instrText>
      </w:r>
      <w:r>
        <w:fldChar w:fldCharType="separate"/>
      </w:r>
      <w:r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E965EE" w:rsidRDefault="004F20D8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Тараев</w:t>
      </w:r>
      <w:proofErr w:type="spellEnd"/>
      <w:r>
        <w:rPr>
          <w:rFonts w:ascii="Times New Roman" w:hAnsi="Times New Roman"/>
          <w:sz w:val="24"/>
        </w:rPr>
        <w:t xml:space="preserve"> Артем Алексеевич</w:t>
      </w:r>
      <w:r w:rsidR="00E965EE">
        <w:rPr>
          <w:rFonts w:ascii="Times New Roman" w:hAnsi="Times New Roman"/>
          <w:sz w:val="24"/>
        </w:rPr>
        <w:t>, тел.: 8(34643)4</w:t>
      </w:r>
      <w:r w:rsidR="00F31143">
        <w:rPr>
          <w:rFonts w:ascii="Times New Roman" w:hAnsi="Times New Roman"/>
          <w:sz w:val="24"/>
        </w:rPr>
        <w:t>6-</w:t>
      </w:r>
      <w:r>
        <w:rPr>
          <w:rFonts w:ascii="Times New Roman" w:hAnsi="Times New Roman"/>
          <w:sz w:val="24"/>
        </w:rPr>
        <w:t>565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TaraevAA</w:t>
      </w:r>
      <w:proofErr w:type="spellEnd"/>
      <w:r w:rsidR="005729DF">
        <w:fldChar w:fldCharType="begin"/>
      </w:r>
      <w:r w:rsidR="005729DF">
        <w:instrText xml:space="preserve"> HYPERLINK "mailto:ShatalovVV@mng.slavneft.ru" </w:instrText>
      </w:r>
      <w:r w:rsidR="005729DF">
        <w:fldChar w:fldCharType="separate"/>
      </w:r>
      <w:r w:rsidR="00F31143" w:rsidRPr="00376EBD">
        <w:rPr>
          <w:rStyle w:val="aa"/>
          <w:rFonts w:ascii="Times New Roman" w:hAnsi="Times New Roman"/>
          <w:sz w:val="24"/>
        </w:rPr>
        <w:t>@</w:t>
      </w:r>
      <w:proofErr w:type="spellStart"/>
      <w:r w:rsidR="00F31143" w:rsidRPr="00376EB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F31143"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="00F31143" w:rsidRPr="00376EB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F31143" w:rsidRPr="00376EBD">
        <w:rPr>
          <w:rStyle w:val="aa"/>
          <w:rFonts w:ascii="Times New Roman" w:hAnsi="Times New Roman"/>
          <w:sz w:val="24"/>
        </w:rPr>
        <w:t>.</w:t>
      </w:r>
      <w:proofErr w:type="spellStart"/>
      <w:r w:rsidR="00F31143" w:rsidRPr="00376EB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5729DF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Pr="003816B5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1B7730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  <w:r w:rsidR="00563A81">
        <w:rPr>
          <w:rFonts w:ascii="Times New Roman" w:hAnsi="Times New Roman"/>
          <w:sz w:val="24"/>
        </w:rPr>
        <w:t>, тел.: 8(34643)46-02</w:t>
      </w:r>
      <w:r>
        <w:rPr>
          <w:rFonts w:ascii="Times New Roman" w:hAnsi="Times New Roman"/>
          <w:sz w:val="24"/>
        </w:rPr>
        <w:t>1</w:t>
      </w:r>
      <w:r w:rsidR="00563A81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7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85206" w:rsidRDefault="00985206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1B7730" w:rsidRDefault="001B7730" w:rsidP="00ED7A97">
      <w:pPr>
        <w:rPr>
          <w:rFonts w:ascii="Times New Roman" w:hAnsi="Times New Roman"/>
          <w:sz w:val="24"/>
        </w:rPr>
      </w:pPr>
    </w:p>
    <w:p w:rsidR="001B7730" w:rsidRDefault="001B7730" w:rsidP="00ED7A97">
      <w:pPr>
        <w:rPr>
          <w:rFonts w:ascii="Times New Roman" w:hAnsi="Times New Roman"/>
          <w:sz w:val="24"/>
        </w:rPr>
      </w:pPr>
    </w:p>
    <w:p w:rsidR="001B7730" w:rsidRDefault="001B7730" w:rsidP="00ED7A97">
      <w:pPr>
        <w:rPr>
          <w:rFonts w:ascii="Times New Roman" w:hAnsi="Times New Roman"/>
          <w:sz w:val="24"/>
        </w:rPr>
      </w:pPr>
    </w:p>
    <w:p w:rsidR="001B7730" w:rsidRDefault="001B7730" w:rsidP="00ED7A97">
      <w:pPr>
        <w:rPr>
          <w:rFonts w:ascii="Times New Roman" w:hAnsi="Times New Roman"/>
          <w:sz w:val="24"/>
        </w:rPr>
      </w:pPr>
    </w:p>
    <w:p w:rsidR="001B7730" w:rsidRDefault="001B7730" w:rsidP="00ED7A97">
      <w:pPr>
        <w:rPr>
          <w:rFonts w:ascii="Times New Roman" w:hAnsi="Times New Roman"/>
          <w:sz w:val="24"/>
        </w:rPr>
      </w:pPr>
    </w:p>
    <w:p w:rsidR="0063764B" w:rsidRPr="001867C2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A7E9F" w:rsidRDefault="007A7E9F" w:rsidP="007A7E9F">
      <w:pPr>
        <w:tabs>
          <w:tab w:val="left" w:pos="8325"/>
        </w:tabs>
        <w:rPr>
          <w:rFonts w:ascii="Times New Roman" w:hAnsi="Times New Roman"/>
          <w:sz w:val="24"/>
        </w:rPr>
      </w:pPr>
    </w:p>
    <w:p w:rsidR="0063764B" w:rsidRDefault="0063764B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835FB2" w:rsidRPr="00835FB2">
        <w:rPr>
          <w:rFonts w:ascii="Times New Roman" w:hAnsi="Times New Roman"/>
          <w:b/>
          <w:sz w:val="24"/>
        </w:rPr>
        <w:t>5</w:t>
      </w:r>
      <w:r w:rsidR="00370445">
        <w:rPr>
          <w:rFonts w:ascii="Times New Roman" w:hAnsi="Times New Roman"/>
          <w:b/>
          <w:sz w:val="24"/>
        </w:rPr>
        <w:t>30</w:t>
      </w:r>
      <w:r w:rsidR="00732F70" w:rsidRPr="0022055C">
        <w:rPr>
          <w:rFonts w:ascii="Times New Roman" w:hAnsi="Times New Roman"/>
          <w:b/>
          <w:sz w:val="24"/>
        </w:rPr>
        <w:t>/</w:t>
      </w:r>
      <w:r w:rsidR="00732F70" w:rsidRPr="006F78FA">
        <w:rPr>
          <w:rFonts w:ascii="Times New Roman" w:hAnsi="Times New Roman"/>
          <w:b/>
          <w:sz w:val="24"/>
        </w:rPr>
        <w:t>ТК</w:t>
      </w:r>
      <w:r w:rsidR="00732F70">
        <w:rPr>
          <w:rFonts w:ascii="Times New Roman" w:hAnsi="Times New Roman"/>
          <w:b/>
          <w:sz w:val="24"/>
        </w:rPr>
        <w:t>/201</w:t>
      </w:r>
      <w:r w:rsidR="0022055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1B7730">
        <w:rPr>
          <w:rFonts w:ascii="Times New Roman" w:hAnsi="Times New Roman"/>
          <w:b/>
          <w:sz w:val="24"/>
        </w:rPr>
        <w:t>26</w:t>
      </w:r>
      <w:r w:rsidR="00B07852">
        <w:rPr>
          <w:rFonts w:ascii="Times New Roman" w:hAnsi="Times New Roman"/>
          <w:b/>
          <w:sz w:val="24"/>
        </w:rPr>
        <w:t>_»__</w:t>
      </w:r>
      <w:r w:rsidR="001B7730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</w:t>
      </w:r>
      <w:r w:rsidR="004F20D8" w:rsidRPr="000B7110">
        <w:rPr>
          <w:rFonts w:ascii="Times New Roman" w:hAnsi="Times New Roman"/>
          <w:b/>
          <w:sz w:val="24"/>
        </w:rPr>
        <w:t>комплекса услуг по технической диагностике УЭЦН</w:t>
      </w:r>
      <w:r w:rsidR="001867C2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момента уведомления о принятии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ED7A97" w:rsidRDefault="00ED7A97" w:rsidP="00ED7A97">
      <w:pPr>
        <w:rPr>
          <w:rFonts w:ascii="Times New Roman" w:hAnsi="Times New Roman"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7A7E9F" w:rsidRPr="008C6FFD">
        <w:rPr>
          <w:rFonts w:ascii="Times New Roman" w:hAnsi="Times New Roman"/>
          <w:b/>
          <w:sz w:val="23"/>
          <w:szCs w:val="23"/>
        </w:rPr>
        <w:t xml:space="preserve">на оказание </w:t>
      </w:r>
      <w:r w:rsidR="004F20D8" w:rsidRPr="000B7110">
        <w:rPr>
          <w:rFonts w:ascii="Times New Roman" w:hAnsi="Times New Roman"/>
          <w:b/>
          <w:sz w:val="24"/>
        </w:rPr>
        <w:t>комплекса услуг по технической диагностике УЭЦН</w:t>
      </w:r>
      <w:r w:rsidR="00F31143" w:rsidRPr="00580A9C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 xml:space="preserve">с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01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.0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F31143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</w:t>
            </w:r>
            <w:r w:rsidR="006F78FA">
              <w:rPr>
                <w:rFonts w:ascii="Times New Roman" w:hAnsi="Times New Roman"/>
                <w:sz w:val="23"/>
                <w:szCs w:val="23"/>
              </w:rPr>
              <w:t>3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</w:t>
            </w:r>
            <w:r w:rsidR="00F31143">
              <w:rPr>
                <w:rFonts w:ascii="Times New Roman" w:hAnsi="Times New Roman"/>
                <w:sz w:val="23"/>
                <w:szCs w:val="23"/>
              </w:rPr>
              <w:t>12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 w:rsidR="00D71D86">
              <w:rPr>
                <w:rFonts w:ascii="Times New Roman" w:hAnsi="Times New Roman"/>
                <w:sz w:val="23"/>
                <w:szCs w:val="23"/>
              </w:rPr>
              <w:t>6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C0D37" w:rsidRDefault="00902E02" w:rsidP="00902E02">
            <w:pPr>
              <w:pStyle w:val="ad"/>
              <w:rPr>
                <w:rFonts w:ascii="Times New Roman" w:hAnsi="Times New Roman"/>
                <w:sz w:val="24"/>
              </w:rPr>
            </w:pPr>
            <w:r w:rsidRPr="006C0D37">
              <w:rPr>
                <w:rFonts w:ascii="Times New Roman" w:hAnsi="Times New Roman"/>
                <w:sz w:val="24"/>
              </w:rPr>
              <w:t>Условия оплаты:</w:t>
            </w:r>
          </w:p>
          <w:p w:rsidR="00902E02" w:rsidRPr="004F20D8" w:rsidRDefault="004F20D8" w:rsidP="004F20D8">
            <w:pPr>
              <w:shd w:val="clear" w:color="auto" w:fill="FFFFFF"/>
              <w:tabs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  <w:r w:rsidRPr="004F20D8">
              <w:rPr>
                <w:rFonts w:ascii="Times New Roman" w:hAnsi="Times New Roman"/>
                <w:sz w:val="24"/>
              </w:rPr>
              <w:t xml:space="preserve">Заказчик обязуется осуществить оплату оказанных услуг (выполненных работ) в течение 90 (девяноста) календарных дней, но не ранее 60 (шестидесяти) дней с даты получения от Исполнителя оригиналов следующих документов: </w:t>
            </w:r>
            <w:r w:rsidRPr="004F20D8">
              <w:rPr>
                <w:rFonts w:ascii="Times New Roman" w:hAnsi="Times New Roman"/>
                <w:sz w:val="24"/>
                <w:lang w:val="en-US"/>
              </w:rPr>
              <w:t>f</w:t>
            </w:r>
            <w:proofErr w:type="spellStart"/>
            <w:r w:rsidRPr="004F20D8">
              <w:rPr>
                <w:rFonts w:ascii="Times New Roman" w:hAnsi="Times New Roman"/>
                <w:sz w:val="24"/>
              </w:rPr>
              <w:t>кт</w:t>
            </w:r>
            <w:proofErr w:type="spellEnd"/>
            <w:r w:rsidRPr="004F20D8">
              <w:rPr>
                <w:rFonts w:ascii="Times New Roman" w:hAnsi="Times New Roman"/>
                <w:sz w:val="24"/>
              </w:rPr>
              <w:t xml:space="preserve"> приема-сдачи оказанных услуг; </w:t>
            </w:r>
            <w:proofErr w:type="gramStart"/>
            <w:r w:rsidRPr="004F20D8">
              <w:rPr>
                <w:rFonts w:ascii="Times New Roman" w:hAnsi="Times New Roman"/>
                <w:sz w:val="24"/>
                <w:lang w:val="en-US"/>
              </w:rPr>
              <w:t>c</w:t>
            </w:r>
            <w:proofErr w:type="gramEnd"/>
            <w:r w:rsidRPr="004F20D8">
              <w:rPr>
                <w:rFonts w:ascii="Times New Roman" w:hAnsi="Times New Roman"/>
                <w:sz w:val="24"/>
              </w:rPr>
              <w:t>чета – 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  <w:p w:rsidR="00902E02" w:rsidRPr="00902E02" w:rsidRDefault="007A7E9F" w:rsidP="00F31143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Увеличение (+3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или уменьшение (-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="00902E02" w:rsidRPr="00902E02">
              <w:rPr>
                <w:rFonts w:ascii="Times New Roman" w:hAnsi="Times New Roman"/>
                <w:sz w:val="23"/>
                <w:szCs w:val="23"/>
              </w:rPr>
              <w:t>0%) объема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71D86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7A7E9F">
        <w:rPr>
          <w:rFonts w:ascii="Times New Roman" w:hAnsi="Times New Roman"/>
          <w:sz w:val="24"/>
        </w:rPr>
        <w:t>марта</w:t>
      </w:r>
      <w:r w:rsidR="00152D25">
        <w:rPr>
          <w:rFonts w:ascii="Times New Roman" w:hAnsi="Times New Roman"/>
          <w:sz w:val="24"/>
        </w:rPr>
        <w:t xml:space="preserve"> 201</w:t>
      </w:r>
      <w:r w:rsidR="007A7E9F">
        <w:rPr>
          <w:rFonts w:ascii="Times New Roman" w:hAnsi="Times New Roman"/>
          <w:sz w:val="24"/>
        </w:rPr>
        <w:t>6</w:t>
      </w:r>
      <w:r w:rsidR="00152D25">
        <w:rPr>
          <w:rFonts w:ascii="Times New Roman" w:hAnsi="Times New Roman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6B742B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6B742B">
              <w:rPr>
                <w:rFonts w:ascii="Times New Roman" w:hAnsi="Times New Roman"/>
                <w:sz w:val="24"/>
              </w:rPr>
              <w:t>350</w:t>
            </w:r>
            <w:r>
              <w:rPr>
                <w:rFonts w:ascii="Times New Roman" w:hAnsi="Times New Roman"/>
                <w:sz w:val="24"/>
              </w:rPr>
              <w:t>___ от «</w:t>
            </w:r>
            <w:r w:rsidR="006B742B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__»_</w:t>
            </w:r>
            <w:r w:rsidR="006B742B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4F20D8" w:rsidRPr="004F20D8">
        <w:rPr>
          <w:rFonts w:ascii="Times New Roman" w:hAnsi="Times New Roman"/>
          <w:sz w:val="23"/>
          <w:szCs w:val="23"/>
        </w:rPr>
        <w:t xml:space="preserve">оказание </w:t>
      </w:r>
      <w:r w:rsidR="004F20D8" w:rsidRPr="004F20D8">
        <w:rPr>
          <w:rFonts w:ascii="Times New Roman" w:hAnsi="Times New Roman" w:cs="Times New Roman"/>
          <w:sz w:val="24"/>
          <w:szCs w:val="24"/>
        </w:rPr>
        <w:t>комплекса услуг по технической диагностике УЭЦН</w:t>
      </w:r>
      <w:r w:rsidR="00F31143" w:rsidRPr="007A7E9F">
        <w:rPr>
          <w:rFonts w:ascii="Times New Roman" w:hAnsi="Times New Roman" w:cs="Times New Roman"/>
          <w:sz w:val="24"/>
          <w:szCs w:val="24"/>
        </w:rPr>
        <w:t>.</w:t>
      </w:r>
      <w:r w:rsidRPr="0063302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08D7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63302F" w:rsidRDefault="0063302F" w:rsidP="00992C5C">
      <w:pPr>
        <w:pStyle w:val="a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F31143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F31143">
        <w:rPr>
          <w:rFonts w:ascii="Times New Roman" w:hAnsi="Times New Roman" w:cs="Times New Roman"/>
          <w:sz w:val="24"/>
          <w:szCs w:val="24"/>
        </w:rPr>
        <w:t>1</w:t>
      </w:r>
      <w:r w:rsidR="008308D7">
        <w:rPr>
          <w:rFonts w:ascii="Times New Roman" w:hAnsi="Times New Roman" w:cs="Times New Roman"/>
          <w:sz w:val="24"/>
          <w:szCs w:val="24"/>
        </w:rPr>
        <w:t>.</w:t>
      </w:r>
      <w:r w:rsidR="00F3114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D71D86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AA5AF8">
      <w:pPr>
        <w:pStyle w:val="ac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D71D86" w:rsidRPr="004F20D8" w:rsidRDefault="004F20D8" w:rsidP="00B00E54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Качественное, своевременное выполнение объемов работ по технической диагностике УЭЦН</w:t>
      </w:r>
      <w:r w:rsidR="001867C2" w:rsidRPr="004F20D8">
        <w:rPr>
          <w:rFonts w:ascii="Times New Roman" w:hAnsi="Times New Roman"/>
          <w:sz w:val="24"/>
        </w:rPr>
        <w:t>, представленн</w:t>
      </w:r>
      <w:r>
        <w:rPr>
          <w:rFonts w:ascii="Times New Roman" w:hAnsi="Times New Roman"/>
          <w:sz w:val="24"/>
        </w:rPr>
        <w:t>ых</w:t>
      </w:r>
      <w:r w:rsidR="001867C2" w:rsidRPr="004F20D8">
        <w:rPr>
          <w:rFonts w:ascii="Times New Roman" w:hAnsi="Times New Roman"/>
          <w:sz w:val="24"/>
        </w:rPr>
        <w:t xml:space="preserve"> в Производственной программе на 2016 год</w:t>
      </w:r>
      <w:r w:rsidR="00D71D86" w:rsidRPr="004F20D8">
        <w:rPr>
          <w:rFonts w:ascii="Times New Roman" w:hAnsi="Times New Roman"/>
          <w:sz w:val="24"/>
        </w:rPr>
        <w:t>;</w:t>
      </w:r>
    </w:p>
    <w:p w:rsidR="00D71D86" w:rsidRPr="001867C2" w:rsidRDefault="001867C2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Персонал Исполнителя обязан быть достаточно квалифицированным, подготовленным и опытным в степени, необходимой для оказания Услуг, имеющий все необходимые допуски. Исполнитель обязан использовать материалы, оборудование, механизмы и инструменты, качество которых соответствует государственным стандартам, техническим условиям, иным требованиям технических регламентов, действующих в РФ, и подтверждается соответствующими сертификатами, техническими паспортами. Кроме того, при нахождении на объектах ОАО «СН-МНГ» Исполнитель обязан соблюдать требования локально-нормативной документации Общества области ОТ, Т и ПБ (приложения к Договору)</w:t>
      </w:r>
      <w:r w:rsidR="00D71D86" w:rsidRPr="001867C2">
        <w:rPr>
          <w:rFonts w:ascii="Times New Roman" w:hAnsi="Times New Roman"/>
          <w:sz w:val="24"/>
        </w:rPr>
        <w:t>;</w:t>
      </w:r>
    </w:p>
    <w:p w:rsidR="00D71D86" w:rsidRDefault="001867C2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Исполнитель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имущество), необходимого для выполнения работ, а также размещение рабочих и служащих Исполнителя</w:t>
      </w:r>
      <w:r w:rsidR="00D71D86" w:rsidRPr="001867C2">
        <w:rPr>
          <w:rFonts w:ascii="Times New Roman" w:hAnsi="Times New Roman"/>
          <w:sz w:val="24"/>
        </w:rPr>
        <w:t>;</w:t>
      </w:r>
    </w:p>
    <w:p w:rsidR="004F20D8" w:rsidRDefault="004F20D8" w:rsidP="00D71D86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Исполнитель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иное имущество), необходимого для выполнения работ, а также размещение рабочих и служащих Исполнителя</w:t>
      </w:r>
      <w:r>
        <w:rPr>
          <w:rFonts w:ascii="Times New Roman" w:hAnsi="Times New Roman"/>
          <w:sz w:val="24"/>
        </w:rPr>
        <w:t>.</w:t>
      </w:r>
    </w:p>
    <w:p w:rsidR="004F20D8" w:rsidRDefault="004F20D8" w:rsidP="004F20D8">
      <w:pPr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Инспекционный контроль качества процесса ремонта УЭЦН включает в себя, но не ограничивает:</w:t>
      </w:r>
    </w:p>
    <w:p w:rsidR="004F20D8" w:rsidRPr="004F20D8" w:rsidRDefault="004F20D8" w:rsidP="004F20D8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hanging="11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контроль стендов тестирования УЭЦН;</w:t>
      </w:r>
    </w:p>
    <w:p w:rsidR="004F20D8" w:rsidRPr="004F20D8" w:rsidRDefault="004F20D8" w:rsidP="004F20D8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контроль технологических процессов;</w:t>
      </w:r>
    </w:p>
    <w:p w:rsidR="004F20D8" w:rsidRPr="004F20D8" w:rsidRDefault="004F20D8" w:rsidP="004F20D8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контроль сборочных и контрольных операций;</w:t>
      </w:r>
    </w:p>
    <w:p w:rsidR="004F20D8" w:rsidRPr="004F20D8" w:rsidRDefault="004F20D8" w:rsidP="004F20D8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контроль проведения ПСИ;</w:t>
      </w:r>
    </w:p>
    <w:p w:rsidR="004F20D8" w:rsidRPr="004F20D8" w:rsidRDefault="004F20D8" w:rsidP="004F20D8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проверка операций входного контроля материалов и комплектующих УЭЦН;</w:t>
      </w:r>
    </w:p>
    <w:p w:rsidR="004F20D8" w:rsidRPr="004F20D8" w:rsidRDefault="004F20D8" w:rsidP="004F20D8">
      <w:pPr>
        <w:numPr>
          <w:ilvl w:val="0"/>
          <w:numId w:val="1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 xml:space="preserve">лабораторная проверка соответствия деталей и </w:t>
      </w:r>
      <w:proofErr w:type="gramStart"/>
      <w:r w:rsidRPr="004F20D8">
        <w:rPr>
          <w:rFonts w:ascii="Times New Roman" w:hAnsi="Times New Roman"/>
          <w:sz w:val="24"/>
        </w:rPr>
        <w:t>материалов</w:t>
      </w:r>
      <w:proofErr w:type="gramEnd"/>
      <w:r w:rsidRPr="004F20D8">
        <w:rPr>
          <w:rFonts w:ascii="Times New Roman" w:hAnsi="Times New Roman"/>
          <w:sz w:val="24"/>
        </w:rPr>
        <w:t xml:space="preserve"> используемых при ремонте УЭЦН;</w:t>
      </w:r>
    </w:p>
    <w:p w:rsidR="004F20D8" w:rsidRDefault="004F20D8" w:rsidP="004F20D8">
      <w:pPr>
        <w:pStyle w:val="ac"/>
        <w:numPr>
          <w:ilvl w:val="0"/>
          <w:numId w:val="17"/>
        </w:numPr>
        <w:autoSpaceDE w:val="0"/>
        <w:autoSpaceDN w:val="0"/>
        <w:adjustRightInd w:val="0"/>
        <w:ind w:hanging="11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составление корректирующих мероприятий по устранению и недопущению нарушений</w:t>
      </w:r>
      <w:r>
        <w:rPr>
          <w:rFonts w:ascii="Times New Roman" w:hAnsi="Times New Roman"/>
          <w:sz w:val="24"/>
        </w:rPr>
        <w:t>.</w:t>
      </w:r>
    </w:p>
    <w:p w:rsidR="004F20D8" w:rsidRDefault="004F20D8" w:rsidP="004F20D8">
      <w:pPr>
        <w:pStyle w:val="ac"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Оценка тех. состояния ремонтного оборудования УЭЦН включает в себя, но не ограничивает</w:t>
      </w:r>
      <w:r>
        <w:rPr>
          <w:rFonts w:ascii="Times New Roman" w:hAnsi="Times New Roman"/>
          <w:sz w:val="24"/>
        </w:rPr>
        <w:t>:</w:t>
      </w:r>
    </w:p>
    <w:p w:rsidR="004F20D8" w:rsidRPr="004F20D8" w:rsidRDefault="004F20D8" w:rsidP="004F20D8">
      <w:pPr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полная разборка готового оборудования;</w:t>
      </w:r>
    </w:p>
    <w:p w:rsidR="004F20D8" w:rsidRPr="004F20D8" w:rsidRDefault="004F20D8" w:rsidP="004F20D8">
      <w:pPr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проверка соответствия техническим требованиям, РД, ГОСТам;</w:t>
      </w:r>
    </w:p>
    <w:p w:rsidR="004F20D8" w:rsidRPr="004F20D8" w:rsidRDefault="004F20D8" w:rsidP="004F20D8">
      <w:pPr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проверка комплектности;</w:t>
      </w:r>
    </w:p>
    <w:p w:rsidR="004F20D8" w:rsidRPr="004F20D8" w:rsidRDefault="004F20D8" w:rsidP="004F20D8">
      <w:pPr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lastRenderedPageBreak/>
        <w:t xml:space="preserve">проведения хим. анализа </w:t>
      </w:r>
      <w:proofErr w:type="gramStart"/>
      <w:r w:rsidRPr="004F20D8">
        <w:rPr>
          <w:rFonts w:ascii="Times New Roman" w:hAnsi="Times New Roman"/>
          <w:sz w:val="24"/>
        </w:rPr>
        <w:t>комплектующих</w:t>
      </w:r>
      <w:proofErr w:type="gramEnd"/>
      <w:r w:rsidRPr="004F20D8">
        <w:rPr>
          <w:rFonts w:ascii="Times New Roman" w:hAnsi="Times New Roman"/>
          <w:sz w:val="24"/>
        </w:rPr>
        <w:t>;</w:t>
      </w:r>
    </w:p>
    <w:p w:rsidR="004F20D8" w:rsidRPr="004F20D8" w:rsidRDefault="004F20D8" w:rsidP="004F20D8">
      <w:pPr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выявление механических дефектов обработки деталей;</w:t>
      </w:r>
    </w:p>
    <w:p w:rsidR="004F20D8" w:rsidRPr="004F20D8" w:rsidRDefault="004F20D8" w:rsidP="004F20D8">
      <w:pPr>
        <w:numPr>
          <w:ilvl w:val="0"/>
          <w:numId w:val="18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4F20D8">
        <w:rPr>
          <w:rFonts w:ascii="Times New Roman" w:hAnsi="Times New Roman"/>
          <w:sz w:val="24"/>
        </w:rPr>
        <w:t>составление корректирующих мероприятий по устранению и недопущению нарушений выявленных в ходе оценки тех. состояния ремонтного оборудования УЭЦН.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Default="008F1D6F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D325C6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 w:rsidR="001867C2">
        <w:rPr>
          <w:rFonts w:ascii="Times New Roman" w:hAnsi="Times New Roman"/>
          <w:iCs/>
          <w:sz w:val="24"/>
        </w:rPr>
        <w:t>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быть правоспособным на осуществление предлагаемого вида работ/оказания услуг (иметь необходимые лицензии);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исполнять обязательства по уплате налогов в бюджеты всех уровней;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Должен иметь производственные мощности для выполнения предлагаемых работ/услуг, финансовые средства, оборудование и другие материальные возможности, обладать необходимыми трудовыми ресурсами с соответствующей квалификацией, для надлежащего и полного исполнения договора, также обладать опытом выполнения аналогичных по объему, срокам и видам указанных работ/услуг;</w:t>
      </w:r>
    </w:p>
    <w:p w:rsidR="001867C2" w:rsidRPr="001867C2" w:rsidRDefault="001867C2" w:rsidP="008F1D6F">
      <w:pPr>
        <w:pStyle w:val="ac"/>
        <w:numPr>
          <w:ilvl w:val="0"/>
          <w:numId w:val="10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1867C2">
        <w:rPr>
          <w:rFonts w:ascii="Times New Roman" w:hAnsi="Times New Roman"/>
          <w:sz w:val="24"/>
        </w:rPr>
        <w:t>Претендент согласен с условиями проекта договора Заказчика (Форма 6).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2412C9" w:rsidRPr="001867C2" w:rsidRDefault="001867C2" w:rsidP="002412C9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 xml:space="preserve">При формировании программы услуг к договору Заказчик оставляет за собой право на изменение объемов работ/услуг, указанных в </w:t>
      </w:r>
      <w:r>
        <w:rPr>
          <w:rFonts w:ascii="Times New Roman" w:hAnsi="Times New Roman"/>
          <w:sz w:val="24"/>
        </w:rPr>
        <w:t>производственной программе</w:t>
      </w:r>
      <w:r w:rsidRPr="001867C2">
        <w:rPr>
          <w:rFonts w:ascii="Times New Roman" w:hAnsi="Times New Roman"/>
          <w:sz w:val="24"/>
        </w:rPr>
        <w:t>, в соответствии с утвержденным бизнес-планом Общества;</w:t>
      </w:r>
      <w:r w:rsidR="002412C9" w:rsidRPr="001867C2">
        <w:rPr>
          <w:rFonts w:ascii="Times New Roman" w:hAnsi="Times New Roman"/>
          <w:sz w:val="24"/>
        </w:rPr>
        <w:t xml:space="preserve"> </w:t>
      </w:r>
    </w:p>
    <w:p w:rsidR="002412C9" w:rsidRPr="001867C2" w:rsidRDefault="001867C2" w:rsidP="002412C9">
      <w:pPr>
        <w:widowControl w:val="0"/>
        <w:numPr>
          <w:ilvl w:val="0"/>
          <w:numId w:val="7"/>
        </w:numPr>
        <w:tabs>
          <w:tab w:val="clear" w:pos="1427"/>
          <w:tab w:val="num" w:pos="72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hAnsi="Times New Roman"/>
          <w:sz w:val="24"/>
        </w:rPr>
      </w:pPr>
      <w:r w:rsidRPr="001867C2">
        <w:rPr>
          <w:rFonts w:ascii="Times New Roman" w:hAnsi="Times New Roman"/>
          <w:sz w:val="24"/>
        </w:rPr>
        <w:t>Заказчик вправе на любом этапе проведения тендера отстранить от участия Претендента в случае предоставления им недостоверных сведений о соответствии требованиям, установленным Заказчиком</w:t>
      </w:r>
      <w:r w:rsidR="002412C9" w:rsidRPr="001867C2">
        <w:rPr>
          <w:rFonts w:ascii="Times New Roman" w:hAnsi="Times New Roman"/>
          <w:spacing w:val="-2"/>
          <w:sz w:val="24"/>
        </w:rPr>
        <w:t>.</w:t>
      </w: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B742B" w:rsidRDefault="006B742B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B742B" w:rsidRDefault="006B742B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B742B" w:rsidRDefault="006B742B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B742B" w:rsidRDefault="006B742B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6B742B" w:rsidRDefault="006B742B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1867C2" w:rsidRDefault="001867C2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85169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902E02" w:rsidRDefault="00902E02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D71D86" w:rsidRDefault="00D71D8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CE3BA6" w:rsidRDefault="00CE3BA6" w:rsidP="004B57B5">
      <w:pPr>
        <w:suppressAutoHyphens/>
        <w:rPr>
          <w:b/>
        </w:rPr>
      </w:pPr>
    </w:p>
    <w:p w:rsidR="007A7E9F" w:rsidRPr="00902E02" w:rsidRDefault="007A7E9F" w:rsidP="007A7E9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t xml:space="preserve">Форма </w:t>
      </w:r>
      <w:r>
        <w:rPr>
          <w:rFonts w:ascii="Times New Roman" w:hAnsi="Times New Roman"/>
          <w:b/>
          <w:sz w:val="24"/>
        </w:rPr>
        <w:t>8 «Калькуляция»</w:t>
      </w:r>
    </w:p>
    <w:p w:rsidR="007A7E9F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Pr="00523749" w:rsidRDefault="007A7E9F" w:rsidP="007A7E9F">
      <w:pPr>
        <w:pStyle w:val="ae"/>
        <w:jc w:val="both"/>
        <w:rPr>
          <w:bCs w:val="0"/>
          <w:szCs w:val="28"/>
          <w:lang w:val="ru-RU"/>
        </w:rPr>
      </w:pPr>
    </w:p>
    <w:p w:rsidR="007A7E9F" w:rsidRDefault="007A7E9F" w:rsidP="007A7E9F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7A7E9F" w:rsidRPr="00523749" w:rsidRDefault="007A7E9F" w:rsidP="007A7E9F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7A7E9F" w:rsidRPr="00523749" w:rsidRDefault="007A7E9F" w:rsidP="007A7E9F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826"/>
      </w:tblGrid>
      <w:tr w:rsidR="007A7E9F" w:rsidRPr="00FD6DC2" w:rsidTr="00FD1437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№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826" w:type="dxa"/>
            <w:shd w:val="clear" w:color="auto" w:fill="auto"/>
            <w:vAlign w:val="center"/>
          </w:tcPr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Удельный вес (%)</w:t>
            </w:r>
          </w:p>
          <w:p w:rsidR="007A7E9F" w:rsidRPr="00FD6DC2" w:rsidRDefault="007A7E9F" w:rsidP="00FD1437">
            <w:pPr>
              <w:pStyle w:val="ae"/>
              <w:rPr>
                <w:i/>
                <w:sz w:val="20"/>
                <w:szCs w:val="20"/>
              </w:rPr>
            </w:pPr>
            <w:r w:rsidRPr="00FD6DC2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7A7E9F" w:rsidRPr="00523749" w:rsidTr="00FD1437">
        <w:tc>
          <w:tcPr>
            <w:tcW w:w="905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7A7E9F" w:rsidRPr="00523749" w:rsidRDefault="007A7E9F" w:rsidP="00FD1437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826" w:type="dxa"/>
          </w:tcPr>
          <w:p w:rsidR="007A7E9F" w:rsidRPr="00523749" w:rsidRDefault="007A7E9F" w:rsidP="00FD1437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ind w:firstLine="709"/>
        <w:jc w:val="both"/>
        <w:rPr>
          <w:b w:val="0"/>
          <w:sz w:val="24"/>
        </w:rPr>
      </w:pPr>
    </w:p>
    <w:p w:rsidR="007A7E9F" w:rsidRPr="00CC360A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</w:r>
      <w:r>
        <w:rPr>
          <w:b w:val="0"/>
          <w:sz w:val="24"/>
          <w:lang w:val="ru-RU"/>
        </w:rPr>
        <w:t>Данная форма будет включена в договор в качестве приложения.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</w:p>
    <w:p w:rsidR="007A7E9F" w:rsidRPr="00523749" w:rsidRDefault="007A7E9F" w:rsidP="007A7E9F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7A7E9F" w:rsidRPr="00902E02" w:rsidRDefault="007A7E9F" w:rsidP="007A7E9F">
      <w:pPr>
        <w:rPr>
          <w:rFonts w:ascii="Times New Roman" w:hAnsi="Times New Roman"/>
          <w:sz w:val="24"/>
          <w:lang w:val="x-none"/>
        </w:rPr>
      </w:pPr>
    </w:p>
    <w:p w:rsidR="007A7E9F" w:rsidRPr="00FD6DC2" w:rsidRDefault="007A7E9F" w:rsidP="007A7E9F">
      <w:pPr>
        <w:pStyle w:val="ae"/>
        <w:jc w:val="both"/>
        <w:rPr>
          <w:b w:val="0"/>
          <w:sz w:val="24"/>
          <w:lang w:val="ru-RU"/>
        </w:rPr>
      </w:pPr>
      <w:r w:rsidRPr="00B25E08">
        <w:rPr>
          <w:b w:val="0"/>
          <w:sz w:val="24"/>
          <w:lang w:val="ru-RU"/>
        </w:rPr>
        <w:t xml:space="preserve">**** </w:t>
      </w:r>
      <w:r>
        <w:rPr>
          <w:b w:val="0"/>
          <w:sz w:val="24"/>
          <w:lang w:val="ru-RU"/>
        </w:rPr>
        <w:t>П</w:t>
      </w:r>
      <w:r w:rsidRPr="00B25E08">
        <w:rPr>
          <w:b w:val="0"/>
          <w:sz w:val="24"/>
          <w:lang w:val="ru-RU"/>
        </w:rPr>
        <w:t>о статье материалы необходимо в</w:t>
      </w:r>
      <w:r w:rsidRPr="00B25E08">
        <w:rPr>
          <w:b w:val="0"/>
          <w:sz w:val="24"/>
        </w:rPr>
        <w:t xml:space="preserve"> обязательном порядке указать маркировку (наименование, тип) оборудования и </w:t>
      </w:r>
      <w:proofErr w:type="gramStart"/>
      <w:r w:rsidRPr="00B25E08">
        <w:rPr>
          <w:b w:val="0"/>
          <w:sz w:val="24"/>
        </w:rPr>
        <w:t>материалов</w:t>
      </w:r>
      <w:proofErr w:type="gramEnd"/>
      <w:r w:rsidRPr="00B25E08">
        <w:rPr>
          <w:b w:val="0"/>
          <w:sz w:val="24"/>
        </w:rPr>
        <w:t xml:space="preserve"> использованных для производства работ</w:t>
      </w:r>
      <w:r w:rsidRPr="00B25E08">
        <w:rPr>
          <w:b w:val="0"/>
          <w:sz w:val="24"/>
          <w:lang w:val="ru-RU"/>
        </w:rPr>
        <w:t>/</w:t>
      </w:r>
      <w:r w:rsidRPr="00B25E08">
        <w:rPr>
          <w:b w:val="0"/>
          <w:sz w:val="24"/>
        </w:rPr>
        <w:t xml:space="preserve">услуг  </w:t>
      </w:r>
      <w:r w:rsidRPr="00B25E08">
        <w:rPr>
          <w:b w:val="0"/>
          <w:sz w:val="24"/>
          <w:lang w:val="ru-RU"/>
        </w:rPr>
        <w:t xml:space="preserve">по форме, </w:t>
      </w:r>
      <w:r w:rsidRPr="00B25E08">
        <w:rPr>
          <w:b w:val="0"/>
          <w:sz w:val="24"/>
        </w:rPr>
        <w:t xml:space="preserve">согласно прилагаемой </w:t>
      </w:r>
      <w:r w:rsidRPr="00B25E08">
        <w:rPr>
          <w:b w:val="0"/>
          <w:sz w:val="24"/>
          <w:lang w:val="ru-RU"/>
        </w:rPr>
        <w:t>т</w:t>
      </w:r>
      <w:proofErr w:type="spellStart"/>
      <w:r w:rsidRPr="00B25E08">
        <w:rPr>
          <w:b w:val="0"/>
          <w:sz w:val="24"/>
        </w:rPr>
        <w:t>аблицы</w:t>
      </w:r>
      <w:proofErr w:type="spellEnd"/>
      <w:r w:rsidRPr="00B25E08">
        <w:rPr>
          <w:b w:val="0"/>
          <w:sz w:val="24"/>
        </w:rPr>
        <w:t xml:space="preserve">. </w:t>
      </w:r>
    </w:p>
    <w:tbl>
      <w:tblPr>
        <w:tblStyle w:val="ab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1257"/>
        <w:gridCol w:w="1417"/>
        <w:gridCol w:w="1579"/>
        <w:gridCol w:w="1984"/>
      </w:tblGrid>
      <w:tr w:rsidR="007A7E9F" w:rsidRPr="00FD6DC2" w:rsidTr="00FD1437">
        <w:tc>
          <w:tcPr>
            <w:tcW w:w="53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2551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Наименование материала/марка</w:t>
            </w:r>
          </w:p>
        </w:tc>
        <w:tc>
          <w:tcPr>
            <w:tcW w:w="992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Ед.</w:t>
            </w:r>
          </w:p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зм.</w:t>
            </w:r>
          </w:p>
        </w:tc>
        <w:tc>
          <w:tcPr>
            <w:tcW w:w="125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Цена за ед., руб. без НДС</w:t>
            </w:r>
          </w:p>
        </w:tc>
        <w:tc>
          <w:tcPr>
            <w:tcW w:w="1579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Стоимость, руб. без НДС</w:t>
            </w:r>
          </w:p>
        </w:tc>
        <w:tc>
          <w:tcPr>
            <w:tcW w:w="1984" w:type="dxa"/>
            <w:vAlign w:val="center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DC2">
              <w:rPr>
                <w:rFonts w:ascii="Times New Roman" w:hAnsi="Times New Roman"/>
                <w:b/>
                <w:sz w:val="20"/>
                <w:szCs w:val="20"/>
              </w:rPr>
              <w:t>Примечание</w:t>
            </w: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jc w:val="center"/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1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  <w:tr w:rsidR="007A7E9F" w:rsidRPr="00FD6DC2" w:rsidTr="00FD1437">
        <w:tc>
          <w:tcPr>
            <w:tcW w:w="53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  <w:r w:rsidRPr="00FD6DC2">
              <w:rPr>
                <w:rFonts w:ascii="Times New Roman" w:hAnsi="Times New Roman"/>
              </w:rPr>
              <w:t>…</w:t>
            </w:r>
          </w:p>
        </w:tc>
        <w:tc>
          <w:tcPr>
            <w:tcW w:w="2551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579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7A7E9F" w:rsidRPr="00FD6DC2" w:rsidRDefault="007A7E9F" w:rsidP="00FD1437">
            <w:pPr>
              <w:rPr>
                <w:rFonts w:ascii="Times New Roman" w:hAnsi="Times New Roman"/>
              </w:rPr>
            </w:pPr>
          </w:p>
        </w:tc>
      </w:tr>
    </w:tbl>
    <w:p w:rsidR="007A7E9F" w:rsidRPr="00CE3BA6" w:rsidRDefault="007A7E9F" w:rsidP="007A7E9F">
      <w:pPr>
        <w:suppressAutoHyphens/>
        <w:rPr>
          <w:b/>
          <w:lang w:val="x-none"/>
        </w:rPr>
      </w:pPr>
    </w:p>
    <w:p w:rsidR="007A7E9F" w:rsidRDefault="007A7E9F" w:rsidP="004B57B5">
      <w:pPr>
        <w:suppressAutoHyphens/>
        <w:rPr>
          <w:b/>
        </w:rPr>
      </w:pPr>
    </w:p>
    <w:sectPr w:rsidR="007A7E9F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F2C88DD4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-118"/>
        </w:tabs>
        <w:ind w:left="2357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45E4339"/>
    <w:multiLevelType w:val="hybridMultilevel"/>
    <w:tmpl w:val="9C447F7C"/>
    <w:lvl w:ilvl="0" w:tplc="E95AA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4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5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96FDD"/>
    <w:multiLevelType w:val="hybridMultilevel"/>
    <w:tmpl w:val="710A2598"/>
    <w:lvl w:ilvl="0" w:tplc="9A02E1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3501733"/>
    <w:multiLevelType w:val="hybridMultilevel"/>
    <w:tmpl w:val="9C447F7C"/>
    <w:lvl w:ilvl="0" w:tplc="E95AA2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175489C"/>
    <w:multiLevelType w:val="multilevel"/>
    <w:tmpl w:val="E31092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639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528D26AD"/>
    <w:multiLevelType w:val="multilevel"/>
    <w:tmpl w:val="CE74BED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1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17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7"/>
  </w:num>
  <w:num w:numId="10">
    <w:abstractNumId w:val="16"/>
  </w:num>
  <w:num w:numId="11">
    <w:abstractNumId w:val="6"/>
  </w:num>
  <w:num w:numId="12">
    <w:abstractNumId w:val="14"/>
  </w:num>
  <w:num w:numId="13">
    <w:abstractNumId w:val="5"/>
  </w:num>
  <w:num w:numId="14">
    <w:abstractNumId w:val="0"/>
  </w:num>
  <w:num w:numId="15">
    <w:abstractNumId w:val="1"/>
  </w:num>
  <w:num w:numId="16">
    <w:abstractNumId w:val="15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0E2CC2"/>
    <w:rsid w:val="00105BBB"/>
    <w:rsid w:val="00111276"/>
    <w:rsid w:val="001425C1"/>
    <w:rsid w:val="0014456C"/>
    <w:rsid w:val="00152D25"/>
    <w:rsid w:val="001625BF"/>
    <w:rsid w:val="0018259D"/>
    <w:rsid w:val="001843A2"/>
    <w:rsid w:val="00184970"/>
    <w:rsid w:val="001867C2"/>
    <w:rsid w:val="00193DCC"/>
    <w:rsid w:val="00194A72"/>
    <w:rsid w:val="001A1DF8"/>
    <w:rsid w:val="001A7599"/>
    <w:rsid w:val="001B7730"/>
    <w:rsid w:val="001D4011"/>
    <w:rsid w:val="001D4BFB"/>
    <w:rsid w:val="00203AE2"/>
    <w:rsid w:val="0021200A"/>
    <w:rsid w:val="0022055C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6B37"/>
    <w:rsid w:val="002C7DAD"/>
    <w:rsid w:val="0030279C"/>
    <w:rsid w:val="00314BB2"/>
    <w:rsid w:val="00325FD6"/>
    <w:rsid w:val="00327DB1"/>
    <w:rsid w:val="00335D84"/>
    <w:rsid w:val="00370445"/>
    <w:rsid w:val="003815A6"/>
    <w:rsid w:val="003816B5"/>
    <w:rsid w:val="00385F58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4F20D8"/>
    <w:rsid w:val="005011BF"/>
    <w:rsid w:val="005165B3"/>
    <w:rsid w:val="0052440E"/>
    <w:rsid w:val="00537785"/>
    <w:rsid w:val="00563A81"/>
    <w:rsid w:val="0056778A"/>
    <w:rsid w:val="005729DF"/>
    <w:rsid w:val="0057661E"/>
    <w:rsid w:val="00580A9C"/>
    <w:rsid w:val="00593CA4"/>
    <w:rsid w:val="005C635A"/>
    <w:rsid w:val="005C7C03"/>
    <w:rsid w:val="006042B0"/>
    <w:rsid w:val="0063302F"/>
    <w:rsid w:val="00637016"/>
    <w:rsid w:val="0063764B"/>
    <w:rsid w:val="006431F4"/>
    <w:rsid w:val="00683B52"/>
    <w:rsid w:val="006A0B75"/>
    <w:rsid w:val="006B0B87"/>
    <w:rsid w:val="006B308F"/>
    <w:rsid w:val="006B742B"/>
    <w:rsid w:val="006C0D37"/>
    <w:rsid w:val="006F78FA"/>
    <w:rsid w:val="00714FBE"/>
    <w:rsid w:val="00724370"/>
    <w:rsid w:val="00732F70"/>
    <w:rsid w:val="0075128F"/>
    <w:rsid w:val="00756583"/>
    <w:rsid w:val="007571D5"/>
    <w:rsid w:val="00764F60"/>
    <w:rsid w:val="00767E47"/>
    <w:rsid w:val="007A7E9F"/>
    <w:rsid w:val="007D4919"/>
    <w:rsid w:val="007E1A62"/>
    <w:rsid w:val="007E571C"/>
    <w:rsid w:val="007F20F0"/>
    <w:rsid w:val="00802C01"/>
    <w:rsid w:val="00815A34"/>
    <w:rsid w:val="008308D7"/>
    <w:rsid w:val="00835FB2"/>
    <w:rsid w:val="008377F5"/>
    <w:rsid w:val="0084327A"/>
    <w:rsid w:val="00880DC6"/>
    <w:rsid w:val="00890B05"/>
    <w:rsid w:val="008937F9"/>
    <w:rsid w:val="00897CF5"/>
    <w:rsid w:val="008B16CF"/>
    <w:rsid w:val="008C3877"/>
    <w:rsid w:val="008D69A2"/>
    <w:rsid w:val="008E7CB5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A5AF8"/>
    <w:rsid w:val="00B00112"/>
    <w:rsid w:val="00B00E54"/>
    <w:rsid w:val="00B07405"/>
    <w:rsid w:val="00B07852"/>
    <w:rsid w:val="00B07981"/>
    <w:rsid w:val="00B15431"/>
    <w:rsid w:val="00B15BD1"/>
    <w:rsid w:val="00B17837"/>
    <w:rsid w:val="00B244D0"/>
    <w:rsid w:val="00B25E08"/>
    <w:rsid w:val="00B40ECD"/>
    <w:rsid w:val="00B52BA2"/>
    <w:rsid w:val="00B5394E"/>
    <w:rsid w:val="00B53E16"/>
    <w:rsid w:val="00B55B52"/>
    <w:rsid w:val="00B71A82"/>
    <w:rsid w:val="00BB78A5"/>
    <w:rsid w:val="00BD7AD7"/>
    <w:rsid w:val="00BE12EF"/>
    <w:rsid w:val="00BF0F5B"/>
    <w:rsid w:val="00C13F3F"/>
    <w:rsid w:val="00C258D1"/>
    <w:rsid w:val="00C503A2"/>
    <w:rsid w:val="00C50722"/>
    <w:rsid w:val="00C67828"/>
    <w:rsid w:val="00C811A0"/>
    <w:rsid w:val="00C8741E"/>
    <w:rsid w:val="00C952C3"/>
    <w:rsid w:val="00CB4D0A"/>
    <w:rsid w:val="00CD05B7"/>
    <w:rsid w:val="00CD5075"/>
    <w:rsid w:val="00CE3BA6"/>
    <w:rsid w:val="00CE4B69"/>
    <w:rsid w:val="00D21794"/>
    <w:rsid w:val="00D21B4C"/>
    <w:rsid w:val="00D26D62"/>
    <w:rsid w:val="00D30184"/>
    <w:rsid w:val="00D325C6"/>
    <w:rsid w:val="00D401CE"/>
    <w:rsid w:val="00D602EB"/>
    <w:rsid w:val="00D64E2B"/>
    <w:rsid w:val="00D71D86"/>
    <w:rsid w:val="00D85169"/>
    <w:rsid w:val="00DA29CD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17015"/>
    <w:rsid w:val="00F21BCA"/>
    <w:rsid w:val="00F31143"/>
    <w:rsid w:val="00F40A5B"/>
    <w:rsid w:val="00F82D65"/>
    <w:rsid w:val="00F94F19"/>
    <w:rsid w:val="00F95725"/>
    <w:rsid w:val="00FA5068"/>
    <w:rsid w:val="00FA522E"/>
    <w:rsid w:val="00FB5238"/>
    <w:rsid w:val="00FC20F9"/>
    <w:rsid w:val="00FD6DC2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customStyle="1" w:styleId="BodyTextIndent31">
    <w:name w:val="Body Text Indent 31"/>
    <w:basedOn w:val="a0"/>
    <w:rsid w:val="001867C2"/>
    <w:pPr>
      <w:spacing w:before="120"/>
      <w:ind w:firstLine="567"/>
      <w:jc w:val="both"/>
    </w:pPr>
    <w:rPr>
      <w:snapToGrid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header"/>
    <w:basedOn w:val="a0"/>
    <w:link w:val="af1"/>
    <w:rsid w:val="00F31143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f1">
    <w:name w:val="Верхний колонтитул Знак"/>
    <w:basedOn w:val="a1"/>
    <w:link w:val="af0"/>
    <w:rsid w:val="00F311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11z0">
    <w:name w:val="WW8Num11z0"/>
    <w:rsid w:val="007A7E9F"/>
  </w:style>
  <w:style w:type="paragraph" w:customStyle="1" w:styleId="BodyTextIndent31">
    <w:name w:val="Body Text Indent 31"/>
    <w:basedOn w:val="a0"/>
    <w:rsid w:val="001867C2"/>
    <w:pPr>
      <w:spacing w:before="120"/>
      <w:ind w:firstLine="567"/>
      <w:jc w:val="both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hotline@slavneft.ru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9</Pages>
  <Words>2837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Наталья Александровна Кузьмичёва</cp:lastModifiedBy>
  <cp:revision>66</cp:revision>
  <cp:lastPrinted>2015-04-15T02:58:00Z</cp:lastPrinted>
  <dcterms:created xsi:type="dcterms:W3CDTF">2014-07-22T02:24:00Z</dcterms:created>
  <dcterms:modified xsi:type="dcterms:W3CDTF">2015-08-25T15:08:00Z</dcterms:modified>
</cp:coreProperties>
</file>