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E65C2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0749" w:rsidRPr="00043137" w:rsidRDefault="00AA0749" w:rsidP="00AA0749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Pr="00174E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проведению экспертизы промышленной безопасности промысловых трубопроводов</w:t>
      </w:r>
      <w:r w:rsidR="00DD5B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1 км</w:t>
      </w:r>
      <w:proofErr w:type="gramStart"/>
      <w:r w:rsidR="00DD5BD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DD5BD6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gramEnd"/>
      <w:r w:rsidR="00DD5BD6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период </w:t>
      </w:r>
      <w:bookmarkStart w:id="0" w:name="_GoBack"/>
      <w:bookmarkEnd w:id="0"/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с «______»_____________20___г. по «____»________________20__г.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размере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: ______________ руб. _____ коп. без НДС, кроме того НДС</w:t>
      </w: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(18%) _________________ руб. ______ коп.</w:t>
      </w:r>
    </w:p>
    <w:p w:rsidR="00AA0749" w:rsidRPr="00043137" w:rsidRDefault="00AA0749" w:rsidP="00AA0749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ab/>
        <w:t>Всего с учетом НДС стоимость за 1 км составляет – ___________ руб. ___ коп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(________________________ 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уб. _____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80566B" w:rsidTr="0080566B">
        <w:trPr>
          <w:trHeight w:val="182"/>
        </w:trPr>
        <w:tc>
          <w:tcPr>
            <w:tcW w:w="4728" w:type="dxa"/>
            <w:gridSpan w:val="2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Исполнитель:</w:t>
            </w: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</w:tc>
      </w:tr>
      <w:tr w:rsidR="0080566B" w:rsidTr="0080566B">
        <w:trPr>
          <w:trHeight w:val="182"/>
        </w:trPr>
        <w:tc>
          <w:tcPr>
            <w:tcW w:w="4728" w:type="dxa"/>
            <w:gridSpan w:val="2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184" w:type="dxa"/>
            <w:gridSpan w:val="2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ОАО «СН-МНГ»</w:t>
            </w:r>
          </w:p>
        </w:tc>
        <w:tc>
          <w:tcPr>
            <w:tcW w:w="126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80566B" w:rsidTr="0080566B">
        <w:trPr>
          <w:trHeight w:val="182"/>
        </w:trPr>
        <w:tc>
          <w:tcPr>
            <w:tcW w:w="4728" w:type="dxa"/>
            <w:gridSpan w:val="2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</w:tr>
      <w:tr w:rsidR="0080566B" w:rsidTr="0080566B">
        <w:trPr>
          <w:trHeight w:val="182"/>
        </w:trPr>
        <w:tc>
          <w:tcPr>
            <w:tcW w:w="4728" w:type="dxa"/>
            <w:gridSpan w:val="2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Главный инженер</w:t>
            </w:r>
          </w:p>
        </w:tc>
      </w:tr>
      <w:tr w:rsidR="0080566B" w:rsidTr="0080566B">
        <w:trPr>
          <w:trHeight w:val="182"/>
        </w:trPr>
        <w:tc>
          <w:tcPr>
            <w:tcW w:w="4728" w:type="dxa"/>
            <w:gridSpan w:val="2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80566B" w:rsidTr="0080566B">
        <w:trPr>
          <w:trHeight w:val="182"/>
        </w:trPr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364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222" w:type="dxa"/>
            <w:gridSpan w:val="2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Пятаев</w:t>
            </w:r>
            <w:proofErr w:type="spellEnd"/>
            <w:r>
              <w:rPr>
                <w:b/>
              </w:rPr>
              <w:t xml:space="preserve"> А.М.</w:t>
            </w:r>
          </w:p>
        </w:tc>
      </w:tr>
      <w:tr w:rsidR="0080566B" w:rsidTr="0080566B">
        <w:trPr>
          <w:trHeight w:val="180"/>
        </w:trPr>
        <w:tc>
          <w:tcPr>
            <w:tcW w:w="4728" w:type="dxa"/>
            <w:gridSpan w:val="2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  <w:hideMark/>
          </w:tcPr>
          <w:p w:rsidR="0080566B" w:rsidRDefault="0080566B">
            <w:pPr>
              <w:pStyle w:val="a3"/>
              <w:snapToGrid w:val="0"/>
              <w:spacing w:after="0"/>
              <w:ind w:left="0"/>
              <w:jc w:val="both"/>
            </w:pPr>
            <w:r>
              <w:rPr>
                <w:b/>
              </w:rPr>
              <w:t xml:space="preserve">            М.П.</w:t>
            </w:r>
          </w:p>
        </w:tc>
      </w:tr>
    </w:tbl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566B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A0749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53C5A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5BD6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56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056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56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056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7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Валерий Андреевич Посохин</cp:lastModifiedBy>
  <cp:revision>11</cp:revision>
  <cp:lastPrinted>2014-10-21T06:54:00Z</cp:lastPrinted>
  <dcterms:created xsi:type="dcterms:W3CDTF">2014-08-15T03:29:00Z</dcterms:created>
  <dcterms:modified xsi:type="dcterms:W3CDTF">2014-10-21T06:59:00Z</dcterms:modified>
</cp:coreProperties>
</file>