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BD" w:rsidRPr="00A413BD" w:rsidRDefault="00A413BD" w:rsidP="00A413BD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</w:t>
      </w:r>
    </w:p>
    <w:p w:rsidR="00A413BD" w:rsidRPr="00A413BD" w:rsidRDefault="00A413BD" w:rsidP="00A413BD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договору № </w:t>
      </w:r>
      <w:permStart w:id="551356850" w:edGrp="everyone"/>
      <w:r w:rsidR="00431E97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_______________</w:t>
      </w:r>
      <w:permEnd w:id="551356850"/>
    </w:p>
    <w:p w:rsidR="00A413BD" w:rsidRPr="00A413BD" w:rsidRDefault="00A413BD" w:rsidP="00A413BD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permStart w:id="1284465675" w:edGrp="everyone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permEnd w:id="1284465675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ermStart w:id="1808548657" w:edGrp="everyone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</w:t>
      </w:r>
      <w:permEnd w:id="1808548657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permStart w:id="2014329812" w:edGrp="everyone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permEnd w:id="2014329812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A413BD" w:rsidRPr="00A413BD" w:rsidRDefault="00A413BD" w:rsidP="00A413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13BD" w:rsidRPr="00A413BD" w:rsidRDefault="00A413BD" w:rsidP="00A413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23AD5" w:rsidRPr="001642A1" w:rsidRDefault="00431E97" w:rsidP="00164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  <w:r w:rsidR="007D1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7D1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1642A1" w:rsidRPr="001642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услуг </w:t>
      </w:r>
      <w:r w:rsidRPr="00431E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сервисному обслуживанию и ремонту станков-качалок, техническому обслуживанию и ремонту редукторов станков-качалок</w:t>
      </w:r>
    </w:p>
    <w:p w:rsidR="001642A1" w:rsidRDefault="001642A1" w:rsidP="00493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2A1" w:rsidRPr="00493F92" w:rsidRDefault="001642A1" w:rsidP="00493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7C" w:rsidRPr="005B4B4E" w:rsidRDefault="00B65E7C" w:rsidP="00975D34">
      <w:pPr>
        <w:pStyle w:val="1"/>
      </w:pPr>
      <w:r w:rsidRPr="005B4B4E">
        <w:t xml:space="preserve">Вид </w:t>
      </w:r>
      <w:r w:rsidRPr="00975D34">
        <w:t>работ</w:t>
      </w:r>
      <w:r w:rsidRPr="005B4B4E">
        <w:t xml:space="preserve"> / услуг</w:t>
      </w:r>
      <w:r w:rsidR="008035BD">
        <w:t>.</w:t>
      </w:r>
    </w:p>
    <w:p w:rsidR="00B65E7C" w:rsidRDefault="00B65E7C" w:rsidP="0034154C">
      <w:pPr>
        <w:pStyle w:val="2"/>
      </w:pPr>
      <w:r w:rsidRPr="005B4B4E">
        <w:t>Сервисное обслуживание станк</w:t>
      </w:r>
      <w:bookmarkStart w:id="0" w:name="_GoBack"/>
      <w:bookmarkEnd w:id="0"/>
      <w:r w:rsidRPr="005B4B4E">
        <w:t>ов-качалок (СК) на объектах Заказчика.</w:t>
      </w:r>
    </w:p>
    <w:p w:rsidR="0034154C" w:rsidRPr="005B4B4E" w:rsidRDefault="0034154C" w:rsidP="0034154C">
      <w:pPr>
        <w:pStyle w:val="2"/>
      </w:pPr>
      <w:r>
        <w:t xml:space="preserve">Прочие работы/услуги, связанные с </w:t>
      </w:r>
      <w:r w:rsidR="00FB4845">
        <w:t>эксплуатацией фонда скважин и фонда станков-качалок.</w:t>
      </w:r>
    </w:p>
    <w:p w:rsidR="0034154C" w:rsidRDefault="0034154C" w:rsidP="00975D34">
      <w:pPr>
        <w:pStyle w:val="1"/>
      </w:pPr>
      <w:r>
        <w:t>Сокращения и определения</w:t>
      </w:r>
      <w:r w:rsidR="0044363F">
        <w:t>.</w:t>
      </w:r>
    </w:p>
    <w:p w:rsidR="0034154C" w:rsidRDefault="0034154C" w:rsidP="0034154C">
      <w:pPr>
        <w:pStyle w:val="a"/>
      </w:pPr>
      <w:r>
        <w:t>ОГМ – отдел главного механика;</w:t>
      </w:r>
    </w:p>
    <w:p w:rsidR="0034154C" w:rsidRDefault="0034154C" w:rsidP="0034154C">
      <w:pPr>
        <w:pStyle w:val="a"/>
      </w:pPr>
      <w:r>
        <w:t>СК – станок-качалка;</w:t>
      </w:r>
    </w:p>
    <w:p w:rsidR="0034154C" w:rsidRDefault="0034154C" w:rsidP="0034154C">
      <w:pPr>
        <w:pStyle w:val="a"/>
      </w:pPr>
      <w:r>
        <w:t>НГП – нефтегазопромысел;</w:t>
      </w:r>
    </w:p>
    <w:p w:rsidR="0034154C" w:rsidRDefault="0034154C" w:rsidP="0034154C">
      <w:pPr>
        <w:pStyle w:val="a"/>
      </w:pPr>
      <w:r>
        <w:t>б/у – бывший в употреблении;</w:t>
      </w:r>
    </w:p>
    <w:p w:rsidR="0034154C" w:rsidRDefault="0034154C" w:rsidP="0034154C">
      <w:pPr>
        <w:pStyle w:val="a"/>
      </w:pPr>
      <w:r>
        <w:t>ТО – техническое обслуживание;</w:t>
      </w:r>
    </w:p>
    <w:p w:rsidR="0034154C" w:rsidRDefault="0034154C" w:rsidP="0034154C">
      <w:pPr>
        <w:pStyle w:val="a"/>
      </w:pPr>
      <w:r>
        <w:t>КШМ – кривошипно-шатунный механизм;</w:t>
      </w:r>
    </w:p>
    <w:p w:rsidR="0034154C" w:rsidRDefault="0034154C" w:rsidP="0034154C">
      <w:pPr>
        <w:pStyle w:val="a"/>
      </w:pPr>
      <w:r>
        <w:t>НАКС – национальное агентство контроля сварки.</w:t>
      </w:r>
    </w:p>
    <w:p w:rsidR="0034154C" w:rsidRDefault="0034154C" w:rsidP="0034154C">
      <w:pPr>
        <w:pStyle w:val="a"/>
      </w:pPr>
      <w:proofErr w:type="gramStart"/>
      <w:r>
        <w:t>Металлоконструкции – сваренные из деталей сборочные единицы СК: рама, балансир, головка балансира, стойка, траверса, ограждающие конструкции, лестницы, площадки.</w:t>
      </w:r>
      <w:proofErr w:type="gramEnd"/>
    </w:p>
    <w:p w:rsidR="00724DEC" w:rsidRDefault="00724DEC" w:rsidP="00724DEC">
      <w:pPr>
        <w:pStyle w:val="a"/>
      </w:pPr>
      <w:r>
        <w:t xml:space="preserve">Сутки обслуживания - </w:t>
      </w:r>
      <w:r w:rsidRPr="00724DEC">
        <w:t xml:space="preserve">временной период, в течение которого производится </w:t>
      </w:r>
      <w:r>
        <w:t xml:space="preserve">весь </w:t>
      </w:r>
      <w:r w:rsidRPr="00724DEC">
        <w:t xml:space="preserve"> комплекс </w:t>
      </w:r>
      <w:r>
        <w:t xml:space="preserve">услуг по </w:t>
      </w:r>
      <w:r w:rsidRPr="00724DEC">
        <w:t>обслуживани</w:t>
      </w:r>
      <w:r>
        <w:t>ю</w:t>
      </w:r>
      <w:r w:rsidRPr="00724DEC">
        <w:t xml:space="preserve"> </w:t>
      </w:r>
      <w:r w:rsidR="00637653">
        <w:t>станка-качалки</w:t>
      </w:r>
      <w:r>
        <w:t xml:space="preserve"> </w:t>
      </w:r>
      <w:r w:rsidR="00737935">
        <w:t xml:space="preserve">(согласно Приложению №1 к настоящему порядку) </w:t>
      </w:r>
      <w:r>
        <w:t xml:space="preserve">с момента его </w:t>
      </w:r>
      <w:r w:rsidRPr="00724DEC">
        <w:t>запуск</w:t>
      </w:r>
      <w:r>
        <w:t>а</w:t>
      </w:r>
      <w:r w:rsidRPr="00724DEC">
        <w:t xml:space="preserve"> в работу</w:t>
      </w:r>
      <w:r>
        <w:t>.</w:t>
      </w:r>
    </w:p>
    <w:p w:rsidR="00B65E7C" w:rsidRPr="005B4B4E" w:rsidRDefault="00B65E7C" w:rsidP="00975D34">
      <w:pPr>
        <w:pStyle w:val="1"/>
      </w:pPr>
      <w:r w:rsidRPr="005B4B4E">
        <w:t>Место выполнения работ / оказания услуг</w:t>
      </w:r>
      <w:r w:rsidR="008035BD">
        <w:t>.</w:t>
      </w:r>
    </w:p>
    <w:p w:rsidR="00B65E7C" w:rsidRPr="005B4B4E" w:rsidRDefault="00B65E7C" w:rsidP="00486ECB">
      <w:pPr>
        <w:pStyle w:val="2"/>
      </w:pPr>
      <w:r w:rsidRPr="005B4B4E">
        <w:t>Объекты Заказчика расположены на месторождениях ОАО «СН-МНГ»</w:t>
      </w:r>
      <w:r w:rsidR="00FB4845">
        <w:t>, эксплуатируемых Аганским и Ватинским нефтегазодобывающими управлениями (НГДУ)</w:t>
      </w:r>
      <w:r w:rsidRPr="005B4B4E">
        <w:t>.</w:t>
      </w:r>
    </w:p>
    <w:p w:rsidR="00B65E7C" w:rsidRDefault="00B65E7C" w:rsidP="00486ECB">
      <w:pPr>
        <w:pStyle w:val="2"/>
      </w:pPr>
      <w:r w:rsidRPr="005B4B4E">
        <w:t>Ориентировочное расстояние от г.Мегиона, км в одну сторону:</w:t>
      </w:r>
    </w:p>
    <w:p w:rsidR="00FB4845" w:rsidRPr="005B4B4E" w:rsidRDefault="00FB4845" w:rsidP="00FB4845">
      <w:pPr>
        <w:pStyle w:val="3"/>
      </w:pPr>
      <w:r>
        <w:t>Аганское НГДУ</w:t>
      </w:r>
    </w:p>
    <w:p w:rsidR="00B65E7C" w:rsidRPr="005B4B4E" w:rsidRDefault="00B65E7C" w:rsidP="00486ECB">
      <w:pPr>
        <w:pStyle w:val="a"/>
      </w:pPr>
      <w:r w:rsidRPr="005B4B4E">
        <w:t>Аганское – 58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Южно-Аганское – 33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Мыхпайское – 19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Мегионское – 30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Покамасов</w:t>
      </w:r>
      <w:r w:rsidR="00FB4845">
        <w:t>с</w:t>
      </w:r>
      <w:r w:rsidRPr="005B4B4E">
        <w:t>кое</w:t>
      </w:r>
      <w:r w:rsidR="00FB4845">
        <w:t>, Южно-Покамасовское</w:t>
      </w:r>
      <w:r w:rsidRPr="005B4B4E">
        <w:t xml:space="preserve"> – 1</w:t>
      </w:r>
      <w:r w:rsidR="00FB4845">
        <w:t>1</w:t>
      </w:r>
      <w:r w:rsidRPr="005B4B4E">
        <w:t>5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Кетовское – 165 км (33 км грунтовой а/дороги);</w:t>
      </w:r>
    </w:p>
    <w:p w:rsidR="00B65E7C" w:rsidRPr="005B4B4E" w:rsidRDefault="00B65E7C" w:rsidP="00486ECB">
      <w:pPr>
        <w:pStyle w:val="a"/>
      </w:pPr>
      <w:r w:rsidRPr="005B4B4E">
        <w:t>Ново-Покурское – 166 (а/дорога с тв. покрытием);</w:t>
      </w:r>
    </w:p>
    <w:p w:rsidR="00B65E7C" w:rsidRPr="005B4B4E" w:rsidRDefault="00B65E7C" w:rsidP="00486ECB">
      <w:pPr>
        <w:pStyle w:val="a"/>
      </w:pPr>
      <w:r w:rsidRPr="005B4B4E">
        <w:t>Северо-Островное – 205 км (35 км грунтовой а/дороги);</w:t>
      </w:r>
    </w:p>
    <w:p w:rsidR="00B65E7C" w:rsidRDefault="00B65E7C" w:rsidP="00486ECB">
      <w:pPr>
        <w:pStyle w:val="a"/>
      </w:pPr>
      <w:r w:rsidRPr="005B4B4E">
        <w:t>Южно-Локосовское – 207 км (60 км грунтовой а/дороги);</w:t>
      </w:r>
    </w:p>
    <w:p w:rsidR="00FB4845" w:rsidRDefault="00FB4845" w:rsidP="00FB4845">
      <w:pPr>
        <w:pStyle w:val="3"/>
      </w:pPr>
      <w:r>
        <w:t>Ватинское НГДУ</w:t>
      </w:r>
    </w:p>
    <w:p w:rsidR="00FB4845" w:rsidRDefault="00FB4845" w:rsidP="00FB4845">
      <w:pPr>
        <w:pStyle w:val="a"/>
      </w:pPr>
      <w:r w:rsidRPr="005B4B4E">
        <w:t>Ватинское – 16 км (а/дорога с тв. покрытием);</w:t>
      </w:r>
    </w:p>
    <w:p w:rsidR="00FB4845" w:rsidRPr="005B4B4E" w:rsidRDefault="00FB4845" w:rsidP="00FB4845">
      <w:pPr>
        <w:pStyle w:val="a"/>
      </w:pPr>
      <w:r w:rsidRPr="005B4B4E">
        <w:lastRenderedPageBreak/>
        <w:t>Северо-Покурское – 40 км (а/дорога с тв. Покрытием</w:t>
      </w:r>
      <w:r>
        <w:t>).</w:t>
      </w:r>
    </w:p>
    <w:p w:rsidR="00B65E7C" w:rsidRPr="005B4B4E" w:rsidRDefault="00B65E7C" w:rsidP="00975D34">
      <w:pPr>
        <w:pStyle w:val="1"/>
      </w:pPr>
      <w:r w:rsidRPr="005B4B4E">
        <w:t>Тип оборудования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Станки-качалки отечественного производства грузоподъёмностью 8 тс: 7СК8-3,5-4000, ПШГН(т)8-3-5500, СКД(т)8-3-4000 и др.</w:t>
      </w:r>
    </w:p>
    <w:p w:rsidR="00B65E7C" w:rsidRPr="005B4B4E" w:rsidRDefault="00B65E7C" w:rsidP="00493F92">
      <w:pPr>
        <w:pStyle w:val="2"/>
      </w:pPr>
      <w:r w:rsidRPr="005B4B4E">
        <w:t>Станки-качалки импортного производства: Legrand-456, Lufkin-C320D, Lufkin-C456D, UP12T-3000-5500, UP9T-2500-3500, UP9T-3000-3500.</w:t>
      </w:r>
    </w:p>
    <w:p w:rsidR="00B65E7C" w:rsidRPr="005B4B4E" w:rsidRDefault="00B65E7C" w:rsidP="00975D34">
      <w:pPr>
        <w:pStyle w:val="1"/>
      </w:pPr>
      <w:r w:rsidRPr="005B4B4E">
        <w:t>Документация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Технологический процесс на все виды работ/услуг должен быть разработан и согласован с ОГМ Заказчика до начала оказания услуг.</w:t>
      </w:r>
    </w:p>
    <w:p w:rsidR="00B65E7C" w:rsidRPr="005B4B4E" w:rsidRDefault="00B65E7C" w:rsidP="00493F92">
      <w:pPr>
        <w:pStyle w:val="2"/>
      </w:pPr>
      <w:r w:rsidRPr="005B4B4E">
        <w:t>Извещение на перемещение СК должно быть предоставлено Заказчику не позднее двух рабочих дней от даты проведения работ по снятию и/или установке СК.</w:t>
      </w:r>
    </w:p>
    <w:p w:rsidR="00B65E7C" w:rsidRPr="005B4B4E" w:rsidRDefault="00B65E7C" w:rsidP="00493F92">
      <w:pPr>
        <w:pStyle w:val="2"/>
      </w:pPr>
      <w:r w:rsidRPr="005B4B4E">
        <w:t>Дефектная ведомость составляется совместно с представителем НГП Заказчика при отказах СК или при необходимости внепланового ремонта СК.</w:t>
      </w:r>
    </w:p>
    <w:p w:rsidR="00B65E7C" w:rsidRPr="005B4B4E" w:rsidRDefault="00B65E7C" w:rsidP="00493F92">
      <w:pPr>
        <w:pStyle w:val="2"/>
      </w:pPr>
      <w:r w:rsidRPr="005B4B4E">
        <w:t>Отчёт о проведении сервисного обслуживания с указанием всех выявленных недостатков, в т.ч. не входящих в зону ответственности Подрядчика, и всех устраненных недостатков. Передается Заказчику ежемесячно при сдаче работ/услуг.</w:t>
      </w:r>
    </w:p>
    <w:p w:rsidR="00B65E7C" w:rsidRPr="005B4B4E" w:rsidRDefault="00B65E7C" w:rsidP="00493F92">
      <w:pPr>
        <w:pStyle w:val="2"/>
      </w:pPr>
      <w:r w:rsidRPr="005B4B4E">
        <w:t>Акт неразрушающего контроля пальца кривошипа составляется на каждый проконтролированный палец. Журнал контроля пальцев кривошипа ведется на базе Подрядчика. Предоставляются Заказчику по требованию.</w:t>
      </w:r>
    </w:p>
    <w:p w:rsidR="00B65E7C" w:rsidRPr="005B4B4E" w:rsidRDefault="00B65E7C" w:rsidP="00493F92">
      <w:pPr>
        <w:pStyle w:val="2"/>
      </w:pPr>
      <w:r w:rsidRPr="005B4B4E">
        <w:t>Журнал учета СО ведется на базе Подрядчика. Предоставляются Заказчику по требованию.</w:t>
      </w:r>
    </w:p>
    <w:p w:rsidR="00272F53" w:rsidRDefault="00272F53" w:rsidP="00975D34">
      <w:pPr>
        <w:pStyle w:val="1"/>
      </w:pPr>
      <w:r>
        <w:t>Порядок взаимодействия</w:t>
      </w:r>
      <w:r w:rsidR="00E55280">
        <w:t>, формирование заявок</w:t>
      </w:r>
      <w:r w:rsidR="008035BD">
        <w:t>.</w:t>
      </w:r>
    </w:p>
    <w:p w:rsidR="00272F53" w:rsidRDefault="00625C28" w:rsidP="00272F53">
      <w:pPr>
        <w:pStyle w:val="2"/>
      </w:pPr>
      <w:r>
        <w:t xml:space="preserve">Динамика изменения действующего фонда ШГН, связанная с изменением способа эксплуатации скважин, выбытием в бездействие или обусловленная другими причинами учитывается 1 раз в месяц. </w:t>
      </w:r>
      <w:r w:rsidR="00E55280">
        <w:t>Перечень</w:t>
      </w:r>
      <w:r w:rsidR="00272F53">
        <w:t xml:space="preserve"> действующего фонда скважин ШГН (оборудованного станками-качалками)</w:t>
      </w:r>
      <w:r w:rsidR="00E55280">
        <w:t xml:space="preserve"> на первое число планового месяца</w:t>
      </w:r>
      <w:r w:rsidR="00272F53">
        <w:t xml:space="preserve">, </w:t>
      </w:r>
      <w:r w:rsidR="00E55280">
        <w:t>являющегося основанием</w:t>
      </w:r>
      <w:r w:rsidR="00272F53">
        <w:t xml:space="preserve"> для определения расчётов</w:t>
      </w:r>
      <w:r w:rsidR="00E55280">
        <w:t xml:space="preserve"> за сервисное обслуживание</w:t>
      </w:r>
      <w:r w:rsidR="00724DEC">
        <w:t xml:space="preserve"> (суток обслуживания)</w:t>
      </w:r>
      <w:r w:rsidR="00272F53">
        <w:t>, доводится Заказчиком до Исполнителя ежемесячно на 2-й рабочий день расчётного месяца.</w:t>
      </w:r>
      <w:r w:rsidR="008F003E">
        <w:t xml:space="preserve"> В течение отчетного месяца количество суток обслуживания может быть увеличено </w:t>
      </w:r>
      <w:proofErr w:type="gramStart"/>
      <w:r w:rsidR="008F003E">
        <w:t>с даты запуска</w:t>
      </w:r>
      <w:proofErr w:type="gramEnd"/>
      <w:r w:rsidR="008F003E">
        <w:t xml:space="preserve"> станков-качалок, отсутствовавших в Перечне на первое число месяца.</w:t>
      </w:r>
    </w:p>
    <w:p w:rsidR="00E55280" w:rsidRDefault="00E55280" w:rsidP="00272F53">
      <w:pPr>
        <w:pStyle w:val="2"/>
      </w:pPr>
      <w:r>
        <w:t xml:space="preserve">Заявки </w:t>
      </w:r>
      <w:r w:rsidR="008035BD">
        <w:t xml:space="preserve">на плановые </w:t>
      </w:r>
      <w:r>
        <w:t xml:space="preserve">текущие ремонты предоставляются </w:t>
      </w:r>
      <w:r w:rsidR="008035BD">
        <w:t xml:space="preserve">нефтегазодобывающими управлениями ежемесячно в срок до 25-го числа месяца предшествующего </w:t>
      </w:r>
      <w:proofErr w:type="gramStart"/>
      <w:r w:rsidR="008035BD">
        <w:t>плановому</w:t>
      </w:r>
      <w:proofErr w:type="gramEnd"/>
      <w:r w:rsidR="008035BD">
        <w:t>.</w:t>
      </w:r>
    </w:p>
    <w:p w:rsidR="008035BD" w:rsidRDefault="008035BD" w:rsidP="00272F53">
      <w:pPr>
        <w:pStyle w:val="2"/>
      </w:pPr>
      <w:r>
        <w:t>Заявки на проведение других ремонтов и прочих услуг подаются Заказчиком по мере необходимости.</w:t>
      </w:r>
    </w:p>
    <w:p w:rsidR="008035BD" w:rsidRPr="005B4B4E" w:rsidRDefault="008035BD" w:rsidP="008035BD">
      <w:pPr>
        <w:pStyle w:val="2"/>
      </w:pPr>
      <w:r w:rsidRPr="005B4B4E">
        <w:t xml:space="preserve">Время сервисного обслуживания одной СК (исключая работы выполняемые Заказчиком) не должно превышать </w:t>
      </w:r>
      <w:r w:rsidRPr="00D04DFA">
        <w:t>двух</w:t>
      </w:r>
      <w:r w:rsidRPr="005B4B4E">
        <w:t xml:space="preserve"> суток с момента начала ремонтных работ.</w:t>
      </w:r>
    </w:p>
    <w:p w:rsidR="008035BD" w:rsidRPr="005B4B4E" w:rsidRDefault="008035BD" w:rsidP="008035BD">
      <w:pPr>
        <w:pStyle w:val="2"/>
      </w:pPr>
      <w:r w:rsidRPr="005B4B4E">
        <w:t xml:space="preserve">Время мобилизации персонала Исполнителя для выполнения внеплановых (аварийных) работ не более </w:t>
      </w:r>
      <w:r w:rsidRPr="00D04DFA">
        <w:t>8</w:t>
      </w:r>
      <w:r w:rsidRPr="005B4B4E">
        <w:t xml:space="preserve"> часов с момента поступления  заявки на телефон круглосуточной </w:t>
      </w:r>
      <w:r w:rsidRPr="00D04DFA">
        <w:t>диспетчерской</w:t>
      </w:r>
      <w:r w:rsidRPr="005B4B4E">
        <w:t xml:space="preserve"> службы Исполнителя, независимо от времени суток, праздничных и выходных дней, от территориального расположения объекта Заказчика и производственной базы Исполнителя.</w:t>
      </w:r>
    </w:p>
    <w:p w:rsidR="00B65E7C" w:rsidRPr="005B4B4E" w:rsidRDefault="00B65E7C" w:rsidP="00975D34">
      <w:pPr>
        <w:pStyle w:val="1"/>
      </w:pPr>
      <w:r w:rsidRPr="005B4B4E">
        <w:t>Объем работ, выполняемый Подрядчиком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Сервисное обслуживание СК:</w:t>
      </w:r>
    </w:p>
    <w:p w:rsidR="00B65E7C" w:rsidRDefault="00B65E7C" w:rsidP="00493F92">
      <w:pPr>
        <w:pStyle w:val="3"/>
      </w:pPr>
      <w:r w:rsidRPr="005B4B4E">
        <w:t>Выполнение работ согласно перечню работ с использованием запасных частей и расходных материалов Подрядчика.</w:t>
      </w:r>
    </w:p>
    <w:p w:rsidR="00431E97" w:rsidRDefault="00431E97" w:rsidP="00065193">
      <w:pPr>
        <w:pStyle w:val="3"/>
        <w:numPr>
          <w:ilvl w:val="3"/>
          <w:numId w:val="2"/>
        </w:numPr>
      </w:pPr>
      <w:r>
        <w:lastRenderedPageBreak/>
        <w:t>Планово-предупредительный (текущий) ремонт по графику, предоставленному Заказчиком.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Осмотр (прослушивание) СК перед остановкой СК на предмет источников ненормальных шумов и вибраций.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Осмотр СК после остановки СК на предмет проверки уровня масла в редукторе, выявления изношенных деталей, дефектов металлоконструкций, деталей заземления, ременной передачи, ограждающих конструкций.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Долив масла (при необходимости).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Замена изношенных деталей:</w:t>
      </w:r>
    </w:p>
    <w:p w:rsidR="00431E97" w:rsidRPr="00975D34" w:rsidRDefault="00975D34" w:rsidP="00975D34">
      <w:pPr>
        <w:pStyle w:val="3"/>
        <w:numPr>
          <w:ilvl w:val="0"/>
          <w:numId w:val="0"/>
        </w:numPr>
        <w:ind w:left="1134"/>
        <w:rPr>
          <w:sz w:val="22"/>
          <w:szCs w:val="22"/>
        </w:rPr>
      </w:pPr>
      <w:r w:rsidRPr="00975D34">
        <w:rPr>
          <w:sz w:val="22"/>
          <w:szCs w:val="22"/>
        </w:rPr>
        <w:t>- </w:t>
      </w:r>
      <w:r w:rsidR="00431E97" w:rsidRPr="00975D34">
        <w:rPr>
          <w:sz w:val="22"/>
          <w:szCs w:val="22"/>
        </w:rPr>
        <w:t>подшипников опоры балансира или опоры балансира с подшипниками;</w:t>
      </w:r>
    </w:p>
    <w:p w:rsidR="00431E97" w:rsidRPr="00975D34" w:rsidRDefault="00975D34" w:rsidP="00975D34">
      <w:pPr>
        <w:pStyle w:val="3"/>
        <w:numPr>
          <w:ilvl w:val="0"/>
          <w:numId w:val="0"/>
        </w:numPr>
        <w:ind w:left="1134"/>
        <w:rPr>
          <w:sz w:val="22"/>
          <w:szCs w:val="22"/>
        </w:rPr>
      </w:pPr>
      <w:r w:rsidRPr="00975D34">
        <w:rPr>
          <w:sz w:val="22"/>
          <w:szCs w:val="22"/>
        </w:rPr>
        <w:t>- </w:t>
      </w:r>
      <w:r w:rsidR="00431E97" w:rsidRPr="00975D34">
        <w:rPr>
          <w:sz w:val="22"/>
          <w:szCs w:val="22"/>
        </w:rPr>
        <w:t>подшипников опоры траверсы или опоры траверсы с подшипниками;</w:t>
      </w:r>
    </w:p>
    <w:p w:rsidR="00431E97" w:rsidRPr="00975D34" w:rsidRDefault="00975D34" w:rsidP="00975D34">
      <w:pPr>
        <w:pStyle w:val="3"/>
        <w:numPr>
          <w:ilvl w:val="0"/>
          <w:numId w:val="0"/>
        </w:numPr>
        <w:ind w:left="1134"/>
        <w:rPr>
          <w:sz w:val="22"/>
          <w:szCs w:val="22"/>
        </w:rPr>
      </w:pPr>
      <w:r w:rsidRPr="00975D34">
        <w:rPr>
          <w:sz w:val="22"/>
          <w:szCs w:val="22"/>
        </w:rPr>
        <w:t>- </w:t>
      </w:r>
      <w:r w:rsidR="00431E97" w:rsidRPr="00975D34">
        <w:rPr>
          <w:sz w:val="22"/>
          <w:szCs w:val="22"/>
        </w:rPr>
        <w:t>пальцев кривошипа;</w:t>
      </w:r>
    </w:p>
    <w:p w:rsidR="00431E97" w:rsidRPr="00975D34" w:rsidRDefault="00975D34" w:rsidP="00975D34">
      <w:pPr>
        <w:pStyle w:val="3"/>
        <w:numPr>
          <w:ilvl w:val="0"/>
          <w:numId w:val="0"/>
        </w:numPr>
        <w:ind w:left="1134"/>
        <w:rPr>
          <w:sz w:val="22"/>
          <w:szCs w:val="22"/>
        </w:rPr>
      </w:pPr>
      <w:r w:rsidRPr="00975D34">
        <w:rPr>
          <w:sz w:val="22"/>
          <w:szCs w:val="22"/>
        </w:rPr>
        <w:t>- </w:t>
      </w:r>
      <w:r w:rsidR="00431E97" w:rsidRPr="00975D34">
        <w:rPr>
          <w:sz w:val="22"/>
          <w:szCs w:val="22"/>
        </w:rPr>
        <w:t>шатунов;</w:t>
      </w:r>
    </w:p>
    <w:p w:rsidR="00431E97" w:rsidRPr="00975D34" w:rsidRDefault="00975D34" w:rsidP="00975D34">
      <w:pPr>
        <w:pStyle w:val="3"/>
        <w:numPr>
          <w:ilvl w:val="0"/>
          <w:numId w:val="0"/>
        </w:numPr>
        <w:ind w:left="1134"/>
        <w:rPr>
          <w:sz w:val="22"/>
          <w:szCs w:val="22"/>
        </w:rPr>
      </w:pPr>
      <w:r w:rsidRPr="00975D34">
        <w:rPr>
          <w:sz w:val="22"/>
          <w:szCs w:val="22"/>
        </w:rPr>
        <w:t>- </w:t>
      </w:r>
      <w:r w:rsidR="00431E97" w:rsidRPr="00975D34">
        <w:rPr>
          <w:sz w:val="22"/>
          <w:szCs w:val="22"/>
        </w:rPr>
        <w:t>деталей тормозной системы;</w:t>
      </w:r>
    </w:p>
    <w:p w:rsidR="00431E97" w:rsidRPr="00975D34" w:rsidRDefault="00975D34" w:rsidP="00975D34">
      <w:pPr>
        <w:pStyle w:val="3"/>
        <w:numPr>
          <w:ilvl w:val="0"/>
          <w:numId w:val="0"/>
        </w:numPr>
        <w:ind w:left="1134"/>
        <w:rPr>
          <w:sz w:val="22"/>
          <w:szCs w:val="22"/>
        </w:rPr>
      </w:pPr>
      <w:r w:rsidRPr="00975D34">
        <w:rPr>
          <w:sz w:val="22"/>
          <w:szCs w:val="22"/>
        </w:rPr>
        <w:t>- </w:t>
      </w:r>
      <w:r w:rsidR="00431E97" w:rsidRPr="00975D34">
        <w:rPr>
          <w:sz w:val="22"/>
          <w:szCs w:val="22"/>
        </w:rPr>
        <w:t>крепежных деталей, включая анкерные крепления.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Информирование НГП о необходимости ремонта/замены металлоконструкций, деталей заземления, ременной передачи, ограждающих конструкций.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Уравновешивание СК, включая установку дополнительных грузов.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Центровка устьевого штока относительно устьевого сальника.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Протяжка крепежа СК, анкерных креплений и сборно-разборного основания (при наличии).</w:t>
      </w:r>
    </w:p>
    <w:p w:rsidR="00431E97" w:rsidRDefault="00431E97" w:rsidP="00065193">
      <w:pPr>
        <w:pStyle w:val="3"/>
        <w:numPr>
          <w:ilvl w:val="3"/>
          <w:numId w:val="2"/>
        </w:numPr>
      </w:pPr>
      <w:r>
        <w:t>Обслуживание (ремонт) по заявкам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Изменение длины хода плунжера станка-качалки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proofErr w:type="gramStart"/>
      <w:r w:rsidRPr="00975D34">
        <w:rPr>
          <w:sz w:val="22"/>
          <w:szCs w:val="22"/>
        </w:rPr>
        <w:t>Замена (при необходимости) узлов СК: балансира с опорой, траверсы с опорным подшипником, стойки, шатунов, пальцев кривошипа, редуктора, кривошипов, противовесов, головки балансира, крепежа, канатной подвески, элементов тормоза и т.д.</w:t>
      </w:r>
      <w:proofErr w:type="gramEnd"/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Ремонт и регулировка тормоза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Долив и замена (при необходимости) масла в редукторе СК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Технический осмотр станка-качалки (определение неисправностей)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 xml:space="preserve">Уравновешивание станка-качалки (в </w:t>
      </w:r>
      <w:proofErr w:type="spellStart"/>
      <w:r w:rsidRPr="00975D34">
        <w:rPr>
          <w:sz w:val="22"/>
          <w:szCs w:val="22"/>
        </w:rPr>
        <w:t>т.ч</w:t>
      </w:r>
      <w:proofErr w:type="spellEnd"/>
      <w:r w:rsidRPr="00975D34">
        <w:rPr>
          <w:sz w:val="22"/>
          <w:szCs w:val="22"/>
        </w:rPr>
        <w:t>. с установкой или снятием противовесов)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Установка головки балансира в нерабочее положение (для подземного ремонта скважины)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Установка головки балансира в рабочее положение (после подземного ремонта скважины)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Установка СК по уровню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Установка быстросъемного анкерного крепления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Изменение числа качаний СК (путем замены шкива ЭД - предоставляется заказчиком)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Центровка ЭД и приводного шкива редуктора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Устранение люфта опоры балансира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Устранение перекоса балансира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Устранение скручивания канатной подвески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Устранение стука (подгонка) плунжера штангового насоса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Центровка станка-качалки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Устранение утечек смазки подшипников и масла из редуктора (ревизия сальниковых уплотнений)</w:t>
      </w:r>
    </w:p>
    <w:p w:rsidR="00B65E7C" w:rsidRPr="005B4B4E" w:rsidRDefault="00B65E7C" w:rsidP="00493F92">
      <w:pPr>
        <w:pStyle w:val="3"/>
      </w:pPr>
      <w:r w:rsidRPr="005B4B4E">
        <w:t>Закуп новых и восстановление запасных частей выполняется за счёт средств и сил Подрядчика, за исключением редукторов СК.</w:t>
      </w:r>
    </w:p>
    <w:p w:rsidR="00B65E7C" w:rsidRPr="005B4B4E" w:rsidRDefault="00B65E7C" w:rsidP="00493F92">
      <w:pPr>
        <w:pStyle w:val="3"/>
      </w:pPr>
      <w:r w:rsidRPr="005B4B4E">
        <w:t>Выполнять 100% контроль всех пальцев кривошипа (новых и б/у) на предмет наличия поверхностных трещин за счёт собственных средств Подрядчика до их установки на СК. При демонтаже пальца запрещается его повторное использование без проведения его контроля независимо от наработки.</w:t>
      </w:r>
    </w:p>
    <w:p w:rsidR="00B65E7C" w:rsidRPr="005B4B4E" w:rsidRDefault="00B65E7C" w:rsidP="00493F92">
      <w:pPr>
        <w:pStyle w:val="3"/>
      </w:pPr>
      <w:r w:rsidRPr="005B4B4E">
        <w:lastRenderedPageBreak/>
        <w:t>Хранение оборотного фонда запасных частей, включая металлоконструкции и редукторы, а также запаса расходных материалов на собственной производственной базе и удаленных участках по обслуживанию Подрядчика.</w:t>
      </w:r>
    </w:p>
    <w:p w:rsidR="00B65E7C" w:rsidRPr="005B4B4E" w:rsidRDefault="00B65E7C" w:rsidP="00493F92">
      <w:pPr>
        <w:pStyle w:val="3"/>
      </w:pPr>
      <w:r w:rsidRPr="005B4B4E">
        <w:t>Вывоз запасных частей, расходных материалов, узлов, оборудования, приспособлений, инструментов и персонала на объект ремонта и обратно.</w:t>
      </w:r>
    </w:p>
    <w:p w:rsidR="00B65E7C" w:rsidRPr="005B4B4E" w:rsidRDefault="00B65E7C" w:rsidP="00493F92">
      <w:pPr>
        <w:pStyle w:val="3"/>
      </w:pPr>
      <w:r w:rsidRPr="005B4B4E">
        <w:t>Уборка территории по окончании работ на объекте.</w:t>
      </w:r>
    </w:p>
    <w:p w:rsidR="00B65E7C" w:rsidRDefault="00B65E7C" w:rsidP="00493F92">
      <w:pPr>
        <w:pStyle w:val="2"/>
      </w:pPr>
      <w:r w:rsidRPr="005B4B4E">
        <w:t>Т</w:t>
      </w:r>
      <w:r w:rsidR="00737935">
        <w:t xml:space="preserve">ехническое обслуживание и </w:t>
      </w:r>
      <w:proofErr w:type="spellStart"/>
      <w:r w:rsidR="00737935">
        <w:t>дефектовка</w:t>
      </w:r>
      <w:proofErr w:type="spellEnd"/>
      <w:r w:rsidRPr="005B4B4E">
        <w:t xml:space="preserve"> редукторов СК на собственной производственной базе.</w:t>
      </w:r>
    </w:p>
    <w:p w:rsidR="00D12D90" w:rsidRDefault="00737935" w:rsidP="00D12D90">
      <w:pPr>
        <w:pStyle w:val="3"/>
      </w:pPr>
      <w:proofErr w:type="gramStart"/>
      <w:r w:rsidRPr="005B4B4E">
        <w:t>Т</w:t>
      </w:r>
      <w:r>
        <w:t>ехническое обслуживание</w:t>
      </w:r>
      <w:r w:rsidRPr="00D12D90">
        <w:t xml:space="preserve"> </w:t>
      </w:r>
      <w:r w:rsidR="00D12D90" w:rsidRPr="00D12D90">
        <w:t>редуктора</w:t>
      </w:r>
      <w:r>
        <w:t xml:space="preserve">: </w:t>
      </w:r>
      <w:r w:rsidR="00D12D90" w:rsidRPr="00D12D90">
        <w:t>мойка; утилизация отработанного масла; разборка редуктора, включая демонтаж кривошипов; дефектовка деталей редуктора; замена подшипников, тормозного барабана (при необходимости); замена уплотнений валов редуктора; сборка редуктора, включая монтаж кривошипов; окраска корпуса; залив масла; испытание редуктора на стенде.</w:t>
      </w:r>
      <w:proofErr w:type="gramEnd"/>
    </w:p>
    <w:p w:rsidR="00D12D90" w:rsidRPr="005B4B4E" w:rsidRDefault="00737935" w:rsidP="00D12D90">
      <w:pPr>
        <w:pStyle w:val="3"/>
      </w:pPr>
      <w:proofErr w:type="spellStart"/>
      <w:r>
        <w:t>Дефектовка</w:t>
      </w:r>
      <w:proofErr w:type="spellEnd"/>
      <w:r w:rsidR="00D12D90" w:rsidRPr="00D12D90">
        <w:t xml:space="preserve"> редуктора</w:t>
      </w:r>
      <w:r>
        <w:t xml:space="preserve">: </w:t>
      </w:r>
      <w:r w:rsidR="00D12D90" w:rsidRPr="00D12D90">
        <w:t>мойка; утилизация отработанного масла; разборка редуктора, включая демонтаж кривошипов; дефектовка деталей редуктора; выбраковка редуктора, подготовка редуктора к утилизации</w:t>
      </w:r>
      <w:r>
        <w:t>.</w:t>
      </w:r>
    </w:p>
    <w:p w:rsidR="00B65E7C" w:rsidRPr="005B4B4E" w:rsidRDefault="00B65E7C" w:rsidP="00D12D90">
      <w:pPr>
        <w:pStyle w:val="2"/>
      </w:pPr>
      <w:r w:rsidRPr="005B4B4E">
        <w:t>Демонтаж сборно-разборных фундаментов (оснований) СК.</w:t>
      </w:r>
    </w:p>
    <w:p w:rsidR="00B65E7C" w:rsidRDefault="00B65E7C" w:rsidP="00D12D90">
      <w:pPr>
        <w:pStyle w:val="2"/>
      </w:pPr>
      <w:r w:rsidRPr="005B4B4E">
        <w:t>Выполнение внеплановых ремонтов при отказах не являющихся гарантийными случаями.</w:t>
      </w:r>
    </w:p>
    <w:p w:rsidR="00B65E7C" w:rsidRPr="005B4B4E" w:rsidRDefault="00B65E7C" w:rsidP="00975D34">
      <w:pPr>
        <w:pStyle w:val="1"/>
      </w:pPr>
      <w:r w:rsidRPr="005B4B4E">
        <w:t>Объем работ, выполняемый Подрядчиком совместно с Заказчиком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Монтаж элементов заземления СК и ограждения КШМ при монтаже СК (сварочные работы выполняются Заказчиком).</w:t>
      </w:r>
    </w:p>
    <w:p w:rsidR="00B65E7C" w:rsidRPr="005B4B4E" w:rsidRDefault="00B65E7C" w:rsidP="00493F92">
      <w:pPr>
        <w:pStyle w:val="2"/>
      </w:pPr>
      <w:r w:rsidRPr="005B4B4E">
        <w:t>Монтаж сборно-разборных фундаментов (оснований) СК (щебень, самосвал и землеройная техника предоставляются Заказчиком).</w:t>
      </w:r>
    </w:p>
    <w:p w:rsidR="00B65E7C" w:rsidRPr="005B4B4E" w:rsidRDefault="00B65E7C" w:rsidP="00975D34">
      <w:pPr>
        <w:pStyle w:val="1"/>
      </w:pPr>
      <w:r w:rsidRPr="005B4B4E">
        <w:t>Объем работ, выполняемый без участия Подрядчика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Ремонт свайного и других типов фундамента (основания) СК.</w:t>
      </w:r>
    </w:p>
    <w:p w:rsidR="00B65E7C" w:rsidRPr="005B4B4E" w:rsidRDefault="00B65E7C" w:rsidP="00493F92">
      <w:pPr>
        <w:pStyle w:val="2"/>
      </w:pPr>
      <w:r w:rsidRPr="005B4B4E">
        <w:t>Демонтаж фундамента (основания) СК, кроме сборно-разборных.</w:t>
      </w:r>
    </w:p>
    <w:p w:rsidR="00B65E7C" w:rsidRPr="005B4B4E" w:rsidRDefault="00B65E7C" w:rsidP="00493F92">
      <w:pPr>
        <w:pStyle w:val="2"/>
      </w:pPr>
      <w:r w:rsidRPr="005B4B4E">
        <w:t>Монтаж фундамента (основания) СК, кроме сборно-разборных.</w:t>
      </w:r>
    </w:p>
    <w:p w:rsidR="00B65E7C" w:rsidRPr="005B4B4E" w:rsidRDefault="00B65E7C" w:rsidP="00493F92">
      <w:pPr>
        <w:pStyle w:val="2"/>
      </w:pPr>
      <w:r w:rsidRPr="005B4B4E">
        <w:t>Ремонт и восстановление ограждений, лестниц и площадок.</w:t>
      </w:r>
    </w:p>
    <w:p w:rsidR="00B65E7C" w:rsidRPr="005B4B4E" w:rsidRDefault="00B65E7C" w:rsidP="00975D34">
      <w:pPr>
        <w:pStyle w:val="1"/>
      </w:pPr>
      <w:r w:rsidRPr="005B4B4E">
        <w:t>Требования безопасности</w:t>
      </w:r>
      <w:r w:rsidR="008035BD">
        <w:t>.</w:t>
      </w:r>
    </w:p>
    <w:p w:rsidR="00B65E7C" w:rsidRPr="005B4B4E" w:rsidRDefault="00B65E7C" w:rsidP="00493F92">
      <w:pPr>
        <w:pStyle w:val="ad"/>
      </w:pPr>
      <w:r w:rsidRPr="005B4B4E">
        <w:t>Работы будут осуществляться на действующем опасном производственном объекте, в условиях повышенной стесненности на кустовой площадке. Работы осуществлять преимущественно в светлое время суток (в 1-ю смену) с соблюдением необходимых мер безопасности, приступать к работе с разрешения ответственного лица Заказчика.</w:t>
      </w:r>
    </w:p>
    <w:p w:rsidR="00B65E7C" w:rsidRPr="005B4B4E" w:rsidRDefault="00B65E7C" w:rsidP="00975D34">
      <w:pPr>
        <w:pStyle w:val="1"/>
      </w:pPr>
      <w:r w:rsidRPr="005B4B4E">
        <w:t>Требования к контролю качества и гарантийные обязательства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Неразрушающий контроль узлов (визуальный и измерительный контроль, ультразвуковой контроль) должен осуществляться после восстановления и/или усиления узлов и металлоконструкций СК с применением сварки на базе Подрядчика.</w:t>
      </w:r>
      <w:r w:rsidR="009B413F">
        <w:t xml:space="preserve"> Неразрушающий контроль должен выполняться аттестованной лабораторией неразрушающего контроля</w:t>
      </w:r>
    </w:p>
    <w:p w:rsidR="00B65E7C" w:rsidRPr="005B4B4E" w:rsidRDefault="00B65E7C" w:rsidP="00493F92">
      <w:pPr>
        <w:pStyle w:val="2"/>
      </w:pPr>
      <w:r w:rsidRPr="005B4B4E">
        <w:t>Сварочные работы должны осуществляться сварщиками, аттестованными по системе НАКС на соответствующую область аттестации.</w:t>
      </w:r>
    </w:p>
    <w:p w:rsidR="00B65E7C" w:rsidRPr="005B4B4E" w:rsidRDefault="00B65E7C" w:rsidP="00493F92">
      <w:pPr>
        <w:pStyle w:val="2"/>
      </w:pPr>
      <w:r w:rsidRPr="005B4B4E">
        <w:t>Слесарные работы должны осуществляться персоналом, обученным и аттестованным в установленном порядке.</w:t>
      </w:r>
    </w:p>
    <w:p w:rsidR="00B65E7C" w:rsidRPr="005B4B4E" w:rsidRDefault="00B65E7C" w:rsidP="00493F92">
      <w:pPr>
        <w:pStyle w:val="2"/>
      </w:pPr>
      <w:r w:rsidRPr="005B4B4E">
        <w:t>Подрядчик гарантирует нормальную работу СК в гарантийный период – 3 месяца от даты последнего ремонта.</w:t>
      </w:r>
    </w:p>
    <w:p w:rsidR="00B65E7C" w:rsidRPr="005B4B4E" w:rsidRDefault="00B65E7C" w:rsidP="00493F92">
      <w:pPr>
        <w:pStyle w:val="2"/>
      </w:pPr>
      <w:r w:rsidRPr="005B4B4E">
        <w:lastRenderedPageBreak/>
        <w:t>В случае обнаружения недостатков в выполненных работах/услугах в гарантийный период Подрядчик устраняет их за счёт собственных средств.</w:t>
      </w:r>
    </w:p>
    <w:p w:rsidR="00B65E7C" w:rsidRPr="005B4B4E" w:rsidRDefault="00B65E7C" w:rsidP="00975D34">
      <w:pPr>
        <w:pStyle w:val="1"/>
      </w:pPr>
      <w:r w:rsidRPr="005B4B4E">
        <w:t>Прочие условия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Доставка на месторождения, проживание и междусменный отдых персонала Подрядчика - за счёт средств Подрядчика.</w:t>
      </w:r>
    </w:p>
    <w:p w:rsidR="00B65E7C" w:rsidRPr="005B4B4E" w:rsidRDefault="00B65E7C" w:rsidP="00493F92">
      <w:pPr>
        <w:pStyle w:val="2"/>
      </w:pPr>
      <w:bookmarkStart w:id="1" w:name="OLE_LINK1"/>
      <w:r w:rsidRPr="005B4B4E">
        <w:t>Завоз на удаленные участки Подрядчика запасных частей, узлов, металлоконструкций, оборудования, приспособлений, инструментов и расходных материалов осуществляется Подрядчиком за счёт собственных средств.</w:t>
      </w:r>
      <w:bookmarkEnd w:id="1"/>
    </w:p>
    <w:p w:rsidR="00B65E7C" w:rsidRPr="005B4B4E" w:rsidRDefault="00B65E7C" w:rsidP="00493F92">
      <w:pPr>
        <w:pStyle w:val="2"/>
      </w:pPr>
      <w:r w:rsidRPr="005B4B4E">
        <w:t>Завоз на объекты Заказчика / вывоз с объектов Заказчика запасных частей, узлов, металлоконструкций, оборудования, приспособлений, инструментов и расходных материалов, а также персонала Подрядчика для выполнения работ/услуг осуществляется Подрядчиком за счёт собственных средств.</w:t>
      </w:r>
    </w:p>
    <w:p w:rsidR="00B65E7C" w:rsidRPr="005B4B4E" w:rsidRDefault="00B65E7C" w:rsidP="00493F92">
      <w:pPr>
        <w:pStyle w:val="2"/>
      </w:pPr>
      <w:r w:rsidRPr="005B4B4E">
        <w:t>Грузоподъемные операции, а также перевозка демонтированных частей СК в места хранения Заказчика осуществляются Подрядчиком за счёт собственных средств.</w:t>
      </w:r>
    </w:p>
    <w:p w:rsidR="00CE78F6" w:rsidRPr="00CE78F6" w:rsidRDefault="00CE78F6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3BD" w:rsidRPr="00A413BD" w:rsidRDefault="00A413BD" w:rsidP="00A4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3BD" w:rsidRPr="00A413BD" w:rsidRDefault="00A413BD" w:rsidP="00A4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045"/>
        <w:gridCol w:w="4625"/>
      </w:tblGrid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A413BD">
              <w:rPr>
                <w:rFonts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A413BD">
              <w:rPr>
                <w:rFonts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8934702" w:edGrp="everyone"/>
            <w:r w:rsidRPr="00A413BD">
              <w:rPr>
                <w:rFonts w:cs="Times New Roman"/>
                <w:sz w:val="24"/>
                <w:szCs w:val="24"/>
                <w:lang w:eastAsia="ru-RU"/>
              </w:rPr>
              <w:t>Название</w:t>
            </w:r>
            <w:r w:rsidR="00975D34">
              <w:rPr>
                <w:rFonts w:cs="Times New Roman"/>
                <w:sz w:val="24"/>
                <w:szCs w:val="24"/>
                <w:lang w:eastAsia="ru-RU"/>
              </w:rPr>
              <w:t xml:space="preserve"> Исполнителя</w:t>
            </w:r>
            <w:permEnd w:id="8934702"/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413BD">
              <w:rPr>
                <w:rFonts w:cs="Times New Roman"/>
                <w:sz w:val="24"/>
                <w:szCs w:val="24"/>
                <w:lang w:eastAsia="ru-RU"/>
              </w:rPr>
              <w:t>ОАО «СН-МНГ»</w:t>
            </w:r>
          </w:p>
        </w:tc>
      </w:tr>
      <w:tr w:rsidR="00A413BD" w:rsidRPr="00A413BD" w:rsidTr="00065193">
        <w:trPr>
          <w:trHeight w:val="519"/>
        </w:trPr>
        <w:tc>
          <w:tcPr>
            <w:tcW w:w="4361" w:type="dxa"/>
          </w:tcPr>
          <w:p w:rsidR="00A413BD" w:rsidRPr="00A413BD" w:rsidRDefault="00975D34" w:rsidP="00065193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2108760439" w:edGrp="everyone"/>
            <w:r>
              <w:rPr>
                <w:rFonts w:cs="Times New Roman"/>
                <w:sz w:val="24"/>
                <w:szCs w:val="24"/>
                <w:lang w:eastAsia="ru-RU"/>
              </w:rPr>
              <w:t>Н</w:t>
            </w:r>
            <w:r w:rsidR="000B3EDF">
              <w:rPr>
                <w:rFonts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cs="Times New Roman"/>
                <w:sz w:val="24"/>
                <w:szCs w:val="24"/>
                <w:lang w:eastAsia="ru-RU"/>
              </w:rPr>
              <w:t>именование д</w:t>
            </w:r>
            <w:r w:rsidR="00A413BD" w:rsidRPr="00A413BD">
              <w:rPr>
                <w:rFonts w:cs="Times New Roman"/>
                <w:sz w:val="24"/>
                <w:szCs w:val="24"/>
                <w:lang w:eastAsia="ru-RU"/>
              </w:rPr>
              <w:t>олжност</w:t>
            </w:r>
            <w:r w:rsidR="00065193">
              <w:rPr>
                <w:rFonts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065193">
              <w:rPr>
                <w:rFonts w:cs="Times New Roman"/>
                <w:sz w:val="24"/>
                <w:szCs w:val="24"/>
                <w:lang w:eastAsia="ru-RU"/>
              </w:rPr>
              <w:t>уполномоченного лица</w:t>
            </w:r>
            <w:permEnd w:id="2108760439"/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065193" w:rsidP="00065193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787431632" w:edGrp="everyone"/>
            <w:r>
              <w:rPr>
                <w:rFonts w:cs="Times New Roman"/>
                <w:sz w:val="24"/>
                <w:szCs w:val="24"/>
                <w:lang w:eastAsia="ru-RU"/>
              </w:rPr>
              <w:t>Наименование должности уполномоченного лица</w:t>
            </w:r>
            <w:permEnd w:id="787431632"/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065193" w:rsidP="00065193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193870638" w:edGrp="everyone"/>
            <w:r>
              <w:rPr>
                <w:rFonts w:cs="Times New Roman"/>
                <w:sz w:val="24"/>
                <w:szCs w:val="24"/>
                <w:lang w:eastAsia="ru-RU"/>
              </w:rPr>
              <w:t>_________________</w:t>
            </w:r>
            <w:r w:rsidR="00A413BD" w:rsidRPr="00A413BD">
              <w:rPr>
                <w:rFonts w:cs="Times New Roman"/>
                <w:sz w:val="24"/>
                <w:szCs w:val="24"/>
                <w:lang w:eastAsia="ru-RU"/>
              </w:rPr>
              <w:t>_</w:t>
            </w:r>
            <w:permEnd w:id="193870638"/>
            <w:r w:rsidR="00A413BD" w:rsidRPr="00A413BD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permStart w:id="227739104" w:edGrp="everyone"/>
            <w:r>
              <w:rPr>
                <w:rFonts w:cs="Times New Roman"/>
                <w:sz w:val="24"/>
                <w:szCs w:val="24"/>
                <w:lang w:eastAsia="ru-RU"/>
              </w:rPr>
              <w:t xml:space="preserve">И.О. </w:t>
            </w:r>
            <w:r w:rsidR="00A413BD" w:rsidRPr="00A413BD">
              <w:rPr>
                <w:rFonts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cs="Times New Roman"/>
                <w:sz w:val="24"/>
                <w:szCs w:val="24"/>
                <w:lang w:eastAsia="ru-RU"/>
              </w:rPr>
              <w:t>амилия</w:t>
            </w:r>
            <w:permEnd w:id="227739104"/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065193" w:rsidP="00065193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2090361658" w:edGrp="everyone"/>
            <w:r>
              <w:rPr>
                <w:rFonts w:cs="Times New Roman"/>
                <w:sz w:val="24"/>
                <w:szCs w:val="24"/>
                <w:lang w:eastAsia="ru-RU"/>
              </w:rPr>
              <w:t>____________</w:t>
            </w:r>
            <w:r w:rsidR="00A413BD" w:rsidRPr="00A413BD">
              <w:rPr>
                <w:rFonts w:cs="Times New Roman"/>
                <w:sz w:val="24"/>
                <w:szCs w:val="24"/>
                <w:lang w:eastAsia="ru-RU"/>
              </w:rPr>
              <w:t>_____</w:t>
            </w:r>
            <w:permEnd w:id="2090361658"/>
            <w:r w:rsidR="00A413BD" w:rsidRPr="00A413BD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permStart w:id="347088074" w:edGrp="everyone"/>
            <w:r>
              <w:rPr>
                <w:rFonts w:cs="Times New Roman"/>
                <w:sz w:val="24"/>
                <w:szCs w:val="24"/>
                <w:lang w:eastAsia="ru-RU"/>
              </w:rPr>
              <w:t>И</w:t>
            </w:r>
            <w:r w:rsidR="00A413BD" w:rsidRPr="00A413BD">
              <w:rPr>
                <w:rFonts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cs="Times New Roman"/>
                <w:sz w:val="24"/>
                <w:szCs w:val="24"/>
                <w:lang w:eastAsia="ru-RU"/>
              </w:rPr>
              <w:t>О</w:t>
            </w:r>
            <w:r w:rsidR="00A413BD" w:rsidRPr="00A413BD">
              <w:rPr>
                <w:rFonts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Фамилия</w:t>
            </w:r>
            <w:permEnd w:id="347088074"/>
          </w:p>
        </w:tc>
      </w:tr>
    </w:tbl>
    <w:p w:rsidR="00A413BD" w:rsidRPr="00A413BD" w:rsidRDefault="00A413BD" w:rsidP="00A4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413BD" w:rsidRPr="00A413BD" w:rsidSect="000B3E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03E" w:rsidRDefault="008F003E" w:rsidP="00732A11">
      <w:pPr>
        <w:spacing w:after="0" w:line="240" w:lineRule="auto"/>
      </w:pPr>
      <w:r>
        <w:separator/>
      </w:r>
    </w:p>
  </w:endnote>
  <w:endnote w:type="continuationSeparator" w:id="0">
    <w:p w:rsidR="008F003E" w:rsidRDefault="008F003E" w:rsidP="0073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03E" w:rsidRDefault="008F003E" w:rsidP="00732A11">
      <w:pPr>
        <w:spacing w:after="0" w:line="240" w:lineRule="auto"/>
      </w:pPr>
      <w:r>
        <w:separator/>
      </w:r>
    </w:p>
  </w:footnote>
  <w:footnote w:type="continuationSeparator" w:id="0">
    <w:p w:rsidR="008F003E" w:rsidRDefault="008F003E" w:rsidP="00732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5F2C"/>
    <w:multiLevelType w:val="multilevel"/>
    <w:tmpl w:val="CEBECDB8"/>
    <w:lvl w:ilvl="0">
      <w:start w:val="1"/>
      <w:numFmt w:val="decimal"/>
      <w:pStyle w:val="1"/>
      <w:suff w:val="space"/>
      <w:lvlText w:val="%1."/>
      <w:lvlJc w:val="left"/>
      <w:pPr>
        <w:ind w:left="1134" w:hanging="1134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9A20F21"/>
    <w:multiLevelType w:val="hybridMultilevel"/>
    <w:tmpl w:val="6F94E4DA"/>
    <w:lvl w:ilvl="0" w:tplc="CA7EE254">
      <w:start w:val="1"/>
      <w:numFmt w:val="bullet"/>
      <w:pStyle w:val="a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8C0DD2"/>
    <w:multiLevelType w:val="multilevel"/>
    <w:tmpl w:val="1A8A7760"/>
    <w:styleLink w:val="10"/>
    <w:lvl w:ilvl="0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931" w:hanging="28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52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8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SortMethod w:val="0000"/>
  <w:doNotTrackMoves/>
  <w:documentProtection w:edit="readOnly" w:enforcement="0"/>
  <w:defaultTabStop w:val="709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5AB"/>
    <w:rsid w:val="00014D11"/>
    <w:rsid w:val="00020402"/>
    <w:rsid w:val="00022DEF"/>
    <w:rsid w:val="00050303"/>
    <w:rsid w:val="00056883"/>
    <w:rsid w:val="00063664"/>
    <w:rsid w:val="00065193"/>
    <w:rsid w:val="00086D28"/>
    <w:rsid w:val="00090D0F"/>
    <w:rsid w:val="000A3731"/>
    <w:rsid w:val="000B3EDF"/>
    <w:rsid w:val="000C20DF"/>
    <w:rsid w:val="000C3FBE"/>
    <w:rsid w:val="00123D7B"/>
    <w:rsid w:val="00150EDB"/>
    <w:rsid w:val="00152749"/>
    <w:rsid w:val="0015335E"/>
    <w:rsid w:val="00154084"/>
    <w:rsid w:val="0015536E"/>
    <w:rsid w:val="001642A1"/>
    <w:rsid w:val="001A79A3"/>
    <w:rsid w:val="001C3BC7"/>
    <w:rsid w:val="001C5371"/>
    <w:rsid w:val="001D7457"/>
    <w:rsid w:val="001E4A54"/>
    <w:rsid w:val="001F5036"/>
    <w:rsid w:val="00204976"/>
    <w:rsid w:val="00216A02"/>
    <w:rsid w:val="0024430F"/>
    <w:rsid w:val="00251C00"/>
    <w:rsid w:val="0025787E"/>
    <w:rsid w:val="00272447"/>
    <w:rsid w:val="00272F53"/>
    <w:rsid w:val="002B70D8"/>
    <w:rsid w:val="002C0A3D"/>
    <w:rsid w:val="002F3016"/>
    <w:rsid w:val="00317972"/>
    <w:rsid w:val="003245AB"/>
    <w:rsid w:val="0034154C"/>
    <w:rsid w:val="003546B5"/>
    <w:rsid w:val="0035652A"/>
    <w:rsid w:val="00373876"/>
    <w:rsid w:val="00376363"/>
    <w:rsid w:val="003B5CC3"/>
    <w:rsid w:val="003C5E36"/>
    <w:rsid w:val="003E0BEF"/>
    <w:rsid w:val="003F4310"/>
    <w:rsid w:val="003F6BCD"/>
    <w:rsid w:val="00404558"/>
    <w:rsid w:val="004125A3"/>
    <w:rsid w:val="004175E2"/>
    <w:rsid w:val="00427695"/>
    <w:rsid w:val="00431E97"/>
    <w:rsid w:val="00433464"/>
    <w:rsid w:val="0044363F"/>
    <w:rsid w:val="00446CF2"/>
    <w:rsid w:val="00451947"/>
    <w:rsid w:val="004648AD"/>
    <w:rsid w:val="004716DB"/>
    <w:rsid w:val="00475B1D"/>
    <w:rsid w:val="00483038"/>
    <w:rsid w:val="00486ECB"/>
    <w:rsid w:val="00493F92"/>
    <w:rsid w:val="004973EF"/>
    <w:rsid w:val="004A26F0"/>
    <w:rsid w:val="004B5E30"/>
    <w:rsid w:val="004E6164"/>
    <w:rsid w:val="004F02C4"/>
    <w:rsid w:val="005062CE"/>
    <w:rsid w:val="00507918"/>
    <w:rsid w:val="00516B1D"/>
    <w:rsid w:val="00547B07"/>
    <w:rsid w:val="00565255"/>
    <w:rsid w:val="00566121"/>
    <w:rsid w:val="0057083D"/>
    <w:rsid w:val="00587B29"/>
    <w:rsid w:val="00594591"/>
    <w:rsid w:val="005B2042"/>
    <w:rsid w:val="005B4B4E"/>
    <w:rsid w:val="005C602D"/>
    <w:rsid w:val="005C7FC7"/>
    <w:rsid w:val="006045C8"/>
    <w:rsid w:val="00621A04"/>
    <w:rsid w:val="00625C28"/>
    <w:rsid w:val="00637653"/>
    <w:rsid w:val="00637C60"/>
    <w:rsid w:val="006450F1"/>
    <w:rsid w:val="0065325D"/>
    <w:rsid w:val="00677DC8"/>
    <w:rsid w:val="0068645E"/>
    <w:rsid w:val="00687C23"/>
    <w:rsid w:val="006C0D79"/>
    <w:rsid w:val="006E324F"/>
    <w:rsid w:val="00724DEC"/>
    <w:rsid w:val="00732A11"/>
    <w:rsid w:val="00737935"/>
    <w:rsid w:val="007411ED"/>
    <w:rsid w:val="007448D4"/>
    <w:rsid w:val="00757CA0"/>
    <w:rsid w:val="007665D9"/>
    <w:rsid w:val="007716AD"/>
    <w:rsid w:val="00773B0B"/>
    <w:rsid w:val="00774667"/>
    <w:rsid w:val="00777D81"/>
    <w:rsid w:val="007824D4"/>
    <w:rsid w:val="00784AFA"/>
    <w:rsid w:val="00792E10"/>
    <w:rsid w:val="007B02DD"/>
    <w:rsid w:val="007B0F2C"/>
    <w:rsid w:val="007B2132"/>
    <w:rsid w:val="007B7124"/>
    <w:rsid w:val="007C2409"/>
    <w:rsid w:val="007D1BEE"/>
    <w:rsid w:val="007D3146"/>
    <w:rsid w:val="007E666B"/>
    <w:rsid w:val="007F0FEE"/>
    <w:rsid w:val="008035BD"/>
    <w:rsid w:val="00806467"/>
    <w:rsid w:val="00810763"/>
    <w:rsid w:val="008137EA"/>
    <w:rsid w:val="00814062"/>
    <w:rsid w:val="00816795"/>
    <w:rsid w:val="008244A8"/>
    <w:rsid w:val="00836494"/>
    <w:rsid w:val="008569B2"/>
    <w:rsid w:val="008650AD"/>
    <w:rsid w:val="00866A71"/>
    <w:rsid w:val="008700A4"/>
    <w:rsid w:val="0089454B"/>
    <w:rsid w:val="008D14A9"/>
    <w:rsid w:val="008E5B8C"/>
    <w:rsid w:val="008F003E"/>
    <w:rsid w:val="0090243A"/>
    <w:rsid w:val="00902D53"/>
    <w:rsid w:val="00905B5C"/>
    <w:rsid w:val="00932CAC"/>
    <w:rsid w:val="0095711E"/>
    <w:rsid w:val="00975D34"/>
    <w:rsid w:val="00995D6B"/>
    <w:rsid w:val="009A3DCA"/>
    <w:rsid w:val="009A4A8C"/>
    <w:rsid w:val="009B413F"/>
    <w:rsid w:val="009D587E"/>
    <w:rsid w:val="009F3E1C"/>
    <w:rsid w:val="00A00DEF"/>
    <w:rsid w:val="00A30B28"/>
    <w:rsid w:val="00A413BD"/>
    <w:rsid w:val="00A46AF6"/>
    <w:rsid w:val="00A6366F"/>
    <w:rsid w:val="00A759B5"/>
    <w:rsid w:val="00AA6CDA"/>
    <w:rsid w:val="00AB12C0"/>
    <w:rsid w:val="00AC0FE9"/>
    <w:rsid w:val="00AC2208"/>
    <w:rsid w:val="00AC6007"/>
    <w:rsid w:val="00AD5660"/>
    <w:rsid w:val="00AF11C1"/>
    <w:rsid w:val="00B11D3F"/>
    <w:rsid w:val="00B16188"/>
    <w:rsid w:val="00B20E1D"/>
    <w:rsid w:val="00B65E7C"/>
    <w:rsid w:val="00B77C56"/>
    <w:rsid w:val="00B82655"/>
    <w:rsid w:val="00B92F19"/>
    <w:rsid w:val="00BC0DC5"/>
    <w:rsid w:val="00BC4651"/>
    <w:rsid w:val="00BD02AD"/>
    <w:rsid w:val="00BF3234"/>
    <w:rsid w:val="00BF5152"/>
    <w:rsid w:val="00C01752"/>
    <w:rsid w:val="00C2535E"/>
    <w:rsid w:val="00C302D4"/>
    <w:rsid w:val="00C472EE"/>
    <w:rsid w:val="00C6690A"/>
    <w:rsid w:val="00C712CC"/>
    <w:rsid w:val="00C8503A"/>
    <w:rsid w:val="00CA0F18"/>
    <w:rsid w:val="00CA4DC0"/>
    <w:rsid w:val="00CC6C69"/>
    <w:rsid w:val="00CD19F1"/>
    <w:rsid w:val="00CD6F31"/>
    <w:rsid w:val="00CE78F6"/>
    <w:rsid w:val="00CF288E"/>
    <w:rsid w:val="00D04DFA"/>
    <w:rsid w:val="00D12D90"/>
    <w:rsid w:val="00D22D71"/>
    <w:rsid w:val="00D27315"/>
    <w:rsid w:val="00D50491"/>
    <w:rsid w:val="00D579B3"/>
    <w:rsid w:val="00D602EF"/>
    <w:rsid w:val="00D73AF6"/>
    <w:rsid w:val="00D75FB9"/>
    <w:rsid w:val="00D8647D"/>
    <w:rsid w:val="00D93CAE"/>
    <w:rsid w:val="00D96E0A"/>
    <w:rsid w:val="00DA3A9A"/>
    <w:rsid w:val="00DB099F"/>
    <w:rsid w:val="00DB3825"/>
    <w:rsid w:val="00DC2E5A"/>
    <w:rsid w:val="00DD28FB"/>
    <w:rsid w:val="00DF296B"/>
    <w:rsid w:val="00E16B65"/>
    <w:rsid w:val="00E23AD5"/>
    <w:rsid w:val="00E263DF"/>
    <w:rsid w:val="00E44CA8"/>
    <w:rsid w:val="00E505F0"/>
    <w:rsid w:val="00E55280"/>
    <w:rsid w:val="00E563E1"/>
    <w:rsid w:val="00EA0C75"/>
    <w:rsid w:val="00ED2A81"/>
    <w:rsid w:val="00EE3453"/>
    <w:rsid w:val="00EF1CA0"/>
    <w:rsid w:val="00F25B3D"/>
    <w:rsid w:val="00F32646"/>
    <w:rsid w:val="00F35153"/>
    <w:rsid w:val="00F5199E"/>
    <w:rsid w:val="00F8494C"/>
    <w:rsid w:val="00F900A4"/>
    <w:rsid w:val="00FA18CA"/>
    <w:rsid w:val="00FA3333"/>
    <w:rsid w:val="00FA7A36"/>
    <w:rsid w:val="00FB4845"/>
    <w:rsid w:val="00FC5ACE"/>
    <w:rsid w:val="00FD7205"/>
    <w:rsid w:val="00FD7DAC"/>
    <w:rsid w:val="00FE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4DF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3245A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№2_"/>
    <w:link w:val="21"/>
    <w:locked/>
    <w:rsid w:val="003245A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Заголовок №2"/>
    <w:basedOn w:val="a0"/>
    <w:link w:val="20"/>
    <w:rsid w:val="003245AB"/>
    <w:pPr>
      <w:shd w:val="clear" w:color="auto" w:fill="FFFFFF"/>
      <w:spacing w:after="0" w:line="254" w:lineRule="exact"/>
      <w:outlineLvl w:val="1"/>
    </w:pPr>
    <w:rPr>
      <w:rFonts w:ascii="Times New Roman" w:hAnsi="Times New Roman" w:cs="Times New Roman"/>
      <w:sz w:val="21"/>
      <w:szCs w:val="21"/>
      <w:lang w:val="x-none" w:eastAsia="x-none"/>
    </w:rPr>
  </w:style>
  <w:style w:type="character" w:customStyle="1" w:styleId="11">
    <w:name w:val="Заголовок №1_"/>
    <w:link w:val="12"/>
    <w:uiPriority w:val="99"/>
    <w:locked/>
    <w:rsid w:val="0005688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Заголовок №1"/>
    <w:basedOn w:val="a0"/>
    <w:link w:val="11"/>
    <w:uiPriority w:val="99"/>
    <w:rsid w:val="00056883"/>
    <w:pPr>
      <w:shd w:val="clear" w:color="auto" w:fill="FFFFFF"/>
      <w:spacing w:after="660" w:line="288" w:lineRule="exact"/>
      <w:outlineLvl w:val="0"/>
    </w:pPr>
    <w:rPr>
      <w:rFonts w:ascii="Times New Roman" w:hAnsi="Times New Roman" w:cs="Times New Roman"/>
      <w:sz w:val="23"/>
      <w:szCs w:val="23"/>
      <w:lang w:val="x-none" w:eastAsia="x-none"/>
    </w:rPr>
  </w:style>
  <w:style w:type="character" w:customStyle="1" w:styleId="a5">
    <w:name w:val="Основной текст_"/>
    <w:link w:val="13"/>
    <w:uiPriority w:val="99"/>
    <w:locked/>
    <w:rsid w:val="0005688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0"/>
    <w:link w:val="a5"/>
    <w:uiPriority w:val="99"/>
    <w:rsid w:val="00056883"/>
    <w:pPr>
      <w:shd w:val="clear" w:color="auto" w:fill="FFFFFF"/>
      <w:spacing w:before="180" w:after="0" w:line="259" w:lineRule="exact"/>
      <w:ind w:hanging="360"/>
    </w:pPr>
    <w:rPr>
      <w:rFonts w:ascii="Times New Roman" w:hAnsi="Times New Roman" w:cs="Times New Roman"/>
      <w:sz w:val="21"/>
      <w:szCs w:val="21"/>
      <w:lang w:val="x-none" w:eastAsia="x-none"/>
    </w:rPr>
  </w:style>
  <w:style w:type="paragraph" w:customStyle="1" w:styleId="14">
    <w:name w:val="Абзац списка1"/>
    <w:basedOn w:val="a0"/>
    <w:uiPriority w:val="99"/>
    <w:qFormat/>
    <w:rsid w:val="00056883"/>
    <w:pPr>
      <w:ind w:left="720"/>
    </w:pPr>
  </w:style>
  <w:style w:type="paragraph" w:customStyle="1" w:styleId="6">
    <w:name w:val="Основной текст6"/>
    <w:basedOn w:val="a0"/>
    <w:uiPriority w:val="99"/>
    <w:rsid w:val="00D50491"/>
    <w:pPr>
      <w:shd w:val="clear" w:color="auto" w:fill="FFFFFF"/>
      <w:spacing w:before="180" w:after="0" w:line="259" w:lineRule="exact"/>
      <w:ind w:hanging="360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22">
    <w:name w:val="Основной текст2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0">
    <w:name w:val="Основной текст3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">
    <w:name w:val="Основной текст4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uiPriority w:val="99"/>
    <w:rsid w:val="009D587E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link w:val="61"/>
    <w:uiPriority w:val="99"/>
    <w:locked/>
    <w:rsid w:val="009D587E"/>
    <w:rPr>
      <w:rFonts w:ascii="Times New Roman" w:hAnsi="Times New Roman" w:cs="Times New Roman"/>
      <w:shd w:val="clear" w:color="auto" w:fill="FFFFFF"/>
    </w:rPr>
  </w:style>
  <w:style w:type="paragraph" w:customStyle="1" w:styleId="61">
    <w:name w:val="Основной текст (6)"/>
    <w:basedOn w:val="a0"/>
    <w:link w:val="60"/>
    <w:uiPriority w:val="99"/>
    <w:rsid w:val="009D587E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10pt">
    <w:name w:val="Основной текст + 10 pt"/>
    <w:uiPriority w:val="99"/>
    <w:rsid w:val="008E5B8C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styleId="a6">
    <w:name w:val="header"/>
    <w:basedOn w:val="a0"/>
    <w:link w:val="a7"/>
    <w:uiPriority w:val="99"/>
    <w:rsid w:val="00732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locked/>
    <w:rsid w:val="00732A11"/>
  </w:style>
  <w:style w:type="paragraph" w:styleId="a8">
    <w:name w:val="footer"/>
    <w:basedOn w:val="a0"/>
    <w:link w:val="a9"/>
    <w:uiPriority w:val="99"/>
    <w:rsid w:val="00732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locked/>
    <w:rsid w:val="00732A11"/>
  </w:style>
  <w:style w:type="paragraph" w:styleId="aa">
    <w:name w:val="Balloon Text"/>
    <w:basedOn w:val="a0"/>
    <w:link w:val="ab"/>
    <w:uiPriority w:val="99"/>
    <w:semiHidden/>
    <w:rsid w:val="00CA0F18"/>
    <w:rPr>
      <w:rFonts w:ascii="Times New Roman" w:hAnsi="Times New Roman" w:cs="Times New Roman"/>
      <w:sz w:val="2"/>
      <w:szCs w:val="2"/>
      <w:lang w:val="x-none"/>
    </w:rPr>
  </w:style>
  <w:style w:type="character" w:customStyle="1" w:styleId="ab">
    <w:name w:val="Текст выноски Знак"/>
    <w:link w:val="aa"/>
    <w:uiPriority w:val="99"/>
    <w:semiHidden/>
    <w:locked/>
    <w:rsid w:val="00565255"/>
    <w:rPr>
      <w:rFonts w:ascii="Times New Roman" w:hAnsi="Times New Roman" w:cs="Times New Roman"/>
      <w:sz w:val="2"/>
      <w:szCs w:val="2"/>
      <w:lang w:eastAsia="en-US"/>
    </w:rPr>
  </w:style>
  <w:style w:type="character" w:styleId="ac">
    <w:name w:val="annotation reference"/>
    <w:semiHidden/>
    <w:rsid w:val="00CA4DC0"/>
    <w:rPr>
      <w:sz w:val="16"/>
      <w:szCs w:val="16"/>
    </w:rPr>
  </w:style>
  <w:style w:type="paragraph" w:customStyle="1" w:styleId="1">
    <w:name w:val="Уровень1"/>
    <w:qFormat/>
    <w:rsid w:val="00975D34"/>
    <w:pPr>
      <w:keepNext/>
      <w:numPr>
        <w:numId w:val="2"/>
      </w:numPr>
      <w:tabs>
        <w:tab w:val="left" w:pos="851"/>
      </w:tabs>
      <w:spacing w:before="120" w:after="120"/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ad">
    <w:name w:val="ТекстБезНумерации"/>
    <w:basedOn w:val="a0"/>
    <w:qFormat/>
    <w:rsid w:val="005B4B4E"/>
    <w:pPr>
      <w:spacing w:after="6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ТекстМаркированный"/>
    <w:basedOn w:val="ad"/>
    <w:qFormat/>
    <w:rsid w:val="00486ECB"/>
    <w:pPr>
      <w:numPr>
        <w:numId w:val="3"/>
      </w:numPr>
    </w:pPr>
  </w:style>
  <w:style w:type="paragraph" w:customStyle="1" w:styleId="2">
    <w:name w:val="Уровень2"/>
    <w:qFormat/>
    <w:rsid w:val="00D04DFA"/>
    <w:pPr>
      <w:numPr>
        <w:ilvl w:val="1"/>
        <w:numId w:val="2"/>
      </w:num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3">
    <w:name w:val="Уровень3"/>
    <w:basedOn w:val="a0"/>
    <w:qFormat/>
    <w:rsid w:val="00D04DFA"/>
    <w:pPr>
      <w:numPr>
        <w:ilvl w:val="2"/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Стиль1"/>
    <w:uiPriority w:val="99"/>
    <w:rsid w:val="00594591"/>
    <w:pPr>
      <w:numPr>
        <w:numId w:val="1"/>
      </w:numPr>
    </w:pPr>
  </w:style>
  <w:style w:type="table" w:customStyle="1" w:styleId="15">
    <w:name w:val="Сетка таблицы1"/>
    <w:basedOn w:val="a2"/>
    <w:next w:val="a4"/>
    <w:rsid w:val="00A413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1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0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1659</Words>
  <Characters>9459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СОГЛАСОВАНО</vt:lpstr>
      <vt:lpstr/>
    </vt:vector>
  </TitlesOfParts>
  <Company>Microsoft</Company>
  <LinksUpToDate>false</LinksUpToDate>
  <CharactersWithSpaces>11096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Арман-Райгуль</dc:creator>
  <cp:keywords/>
  <dc:description/>
  <cp:lastModifiedBy>Юрий Алексеевич Киндиков</cp:lastModifiedBy>
  <cp:revision>12</cp:revision>
  <cp:lastPrinted>2014-08-04T07:41:00Z</cp:lastPrinted>
  <dcterms:created xsi:type="dcterms:W3CDTF">2014-08-01T11:32:00Z</dcterms:created>
  <dcterms:modified xsi:type="dcterms:W3CDTF">2015-07-16T09:43:00Z</dcterms:modified>
</cp:coreProperties>
</file>