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C47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7C47B2">
              <w:rPr>
                <w:rFonts w:ascii="Times New Roman" w:hAnsi="Times New Roman"/>
                <w:sz w:val="24"/>
              </w:rPr>
              <w:t>282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C47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C47B2">
              <w:rPr>
                <w:rFonts w:ascii="Times New Roman" w:hAnsi="Times New Roman"/>
                <w:sz w:val="24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7C47B2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7C47B2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573C45">
        <w:rPr>
          <w:rFonts w:ascii="Times New Roman" w:hAnsi="Times New Roman"/>
          <w:b/>
          <w:sz w:val="24"/>
        </w:rPr>
        <w:t>522/ТК/2014г. от 02.09</w:t>
      </w:r>
      <w:r w:rsidR="00411973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>
        <w:rPr>
          <w:rFonts w:ascii="Times New Roman" w:hAnsi="Times New Roman"/>
          <w:b/>
          <w:sz w:val="24"/>
        </w:rPr>
        <w:t>1310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B172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E973F5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D41D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 xml:space="preserve">Отбор проводится в два этапа: оценка технической части оферт и оценка </w:t>
      </w:r>
      <w:r w:rsidRPr="00CD41D4">
        <w:rPr>
          <w:rFonts w:ascii="Times New Roman" w:hAnsi="Times New Roman"/>
          <w:b/>
          <w:sz w:val="24"/>
          <w:u w:val="single"/>
        </w:rPr>
        <w:t>коммерческой части оферт.</w:t>
      </w:r>
    </w:p>
    <w:p w:rsidR="00203261" w:rsidRPr="00CD41D4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D41D4">
        <w:rPr>
          <w:rFonts w:ascii="Times New Roman" w:hAnsi="Times New Roman" w:cs="Times New Roman"/>
          <w:sz w:val="24"/>
          <w:szCs w:val="24"/>
        </w:rPr>
        <w:tab/>
      </w:r>
      <w:r w:rsidRPr="00CD41D4">
        <w:rPr>
          <w:rFonts w:ascii="Times New Roman" w:hAnsi="Times New Roman" w:cs="Times New Roman"/>
          <w:sz w:val="24"/>
          <w:szCs w:val="24"/>
        </w:rPr>
        <w:tab/>
      </w:r>
      <w:r w:rsidR="00753978" w:rsidRPr="00CD41D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CD41D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DF12F9" w:rsidRPr="000127F9" w:rsidRDefault="00DF12F9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Default="00203261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4B3BF2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14864" w:rsidRPr="004B3BF2">
        <w:rPr>
          <w:rFonts w:ascii="Times New Roman" w:hAnsi="Times New Roman"/>
          <w:color w:val="FF0000"/>
          <w:sz w:val="24"/>
        </w:rPr>
        <w:t>Форма 8</w:t>
      </w:r>
      <w:r w:rsidR="00F14864">
        <w:rPr>
          <w:rFonts w:ascii="Times New Roman" w:hAnsi="Times New Roman"/>
          <w:color w:val="FF0000"/>
          <w:sz w:val="24"/>
        </w:rPr>
        <w:t xml:space="preserve"> с приложениями 1,2,3,4,5,5.1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№1310 «Строительство, реконструкция и капитальный ремонт площадочных сооружений и комплексов (ЦПС,</w:t>
      </w:r>
      <w:r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ДНС, КНС, УПСВ, КС, котельные и т.п.)». (Форма 11).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A55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>«</w:t>
      </w:r>
      <w:r w:rsidR="00A552E4" w:rsidRPr="00A552E4">
        <w:rPr>
          <w:rFonts w:ascii="Times New Roman" w:hAnsi="Times New Roman"/>
          <w:b/>
          <w:sz w:val="24"/>
        </w:rPr>
        <w:t>18</w:t>
      </w:r>
      <w:r w:rsidR="00807E7A" w:rsidRPr="00A552E4">
        <w:rPr>
          <w:rFonts w:ascii="Times New Roman" w:hAnsi="Times New Roman"/>
          <w:b/>
          <w:sz w:val="24"/>
        </w:rPr>
        <w:t xml:space="preserve">» </w:t>
      </w:r>
      <w:r w:rsidR="00A552E4" w:rsidRPr="00A552E4">
        <w:rPr>
          <w:rFonts w:ascii="Times New Roman" w:hAnsi="Times New Roman"/>
          <w:b/>
          <w:sz w:val="24"/>
          <w:u w:val="single"/>
        </w:rPr>
        <w:t>сентября</w:t>
      </w:r>
      <w:r w:rsidR="00807E7A" w:rsidRPr="00A552E4">
        <w:rPr>
          <w:rFonts w:ascii="Times New Roman" w:hAnsi="Times New Roman"/>
          <w:sz w:val="24"/>
        </w:rPr>
        <w:t xml:space="preserve"> </w:t>
      </w:r>
      <w:r w:rsidR="00875B06" w:rsidRPr="00A552E4">
        <w:rPr>
          <w:rFonts w:ascii="Times New Roman" w:hAnsi="Times New Roman"/>
          <w:b/>
          <w:sz w:val="24"/>
        </w:rPr>
        <w:t>2014</w:t>
      </w:r>
      <w:r w:rsidRPr="00A552E4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552E4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A552E4">
        <w:rPr>
          <w:rFonts w:ascii="Times New Roman" w:hAnsi="Times New Roman"/>
          <w:sz w:val="24"/>
        </w:rPr>
        <w:t>«</w:t>
      </w:r>
      <w:r w:rsidR="00A552E4" w:rsidRPr="00A552E4">
        <w:rPr>
          <w:rFonts w:ascii="Times New Roman" w:hAnsi="Times New Roman"/>
          <w:b/>
          <w:sz w:val="24"/>
        </w:rPr>
        <w:t>01</w:t>
      </w:r>
      <w:r w:rsidR="00807E7A" w:rsidRPr="00A552E4">
        <w:rPr>
          <w:rFonts w:ascii="Times New Roman" w:hAnsi="Times New Roman"/>
          <w:b/>
          <w:sz w:val="24"/>
        </w:rPr>
        <w:t xml:space="preserve">» </w:t>
      </w:r>
      <w:r w:rsidR="00A552E4" w:rsidRPr="00A552E4">
        <w:rPr>
          <w:rFonts w:ascii="Times New Roman" w:hAnsi="Times New Roman"/>
          <w:b/>
          <w:sz w:val="24"/>
          <w:u w:val="single"/>
        </w:rPr>
        <w:t>октября</w:t>
      </w:r>
      <w:r w:rsidR="00807E7A" w:rsidRPr="00A552E4">
        <w:rPr>
          <w:rFonts w:ascii="Times New Roman" w:hAnsi="Times New Roman"/>
          <w:sz w:val="24"/>
        </w:rPr>
        <w:t xml:space="preserve"> </w:t>
      </w:r>
      <w:r w:rsidR="00875B06" w:rsidRPr="00A552E4">
        <w:rPr>
          <w:rFonts w:ascii="Times New Roman" w:hAnsi="Times New Roman"/>
          <w:b/>
          <w:sz w:val="24"/>
        </w:rPr>
        <w:t>2014</w:t>
      </w:r>
      <w:r w:rsidR="003D15BE" w:rsidRPr="00A552E4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2821F4">
        <w:rPr>
          <w:rFonts w:ascii="Times New Roman" w:hAnsi="Times New Roman"/>
          <w:b/>
          <w:sz w:val="24"/>
        </w:rPr>
        <w:t xml:space="preserve">до 15.00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573C45">
        <w:rPr>
          <w:rFonts w:ascii="Times New Roman" w:hAnsi="Times New Roman"/>
          <w:b/>
          <w:sz w:val="24"/>
        </w:rPr>
        <w:t>52</w:t>
      </w:r>
      <w:r w:rsidR="003E1E57">
        <w:rPr>
          <w:rFonts w:ascii="Times New Roman" w:hAnsi="Times New Roman"/>
          <w:b/>
          <w:sz w:val="24"/>
        </w:rPr>
        <w:t>2/ТК/2014г. от 02.09</w:t>
      </w:r>
      <w:r w:rsidR="00411973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3D15BE" w:rsidRDefault="00354102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</w:t>
      </w:r>
      <w:r w:rsidR="00E973F5" w:rsidRPr="003D15BE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E973F5" w:rsidRPr="003D15BE">
        <w:rPr>
          <w:rFonts w:ascii="Times New Roman" w:hAnsi="Times New Roman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3D15BE">
        <w:rPr>
          <w:rFonts w:ascii="Times New Roman" w:hAnsi="Times New Roman"/>
          <w:color w:val="FF000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расчет договорной цены (</w:t>
      </w:r>
      <w:r w:rsidR="00F14864" w:rsidRPr="003D15BE">
        <w:rPr>
          <w:rFonts w:ascii="Times New Roman" w:hAnsi="Times New Roman"/>
          <w:color w:val="FF0000"/>
          <w:sz w:val="24"/>
        </w:rPr>
        <w:t>Форма 8 с приложениями 1,2,3,4,5,5.1</w:t>
      </w:r>
      <w:r w:rsidR="004B3BF2" w:rsidRPr="003D15BE">
        <w:rPr>
          <w:rFonts w:ascii="Times New Roman" w:hAnsi="Times New Roman"/>
          <w:color w:val="FF0000"/>
          <w:sz w:val="24"/>
        </w:rPr>
        <w:t>);</w:t>
      </w:r>
      <w:r w:rsidR="004B3BF2" w:rsidRPr="003D15BE">
        <w:rPr>
          <w:rFonts w:ascii="Times New Roman" w:hAnsi="Times New Roman"/>
          <w:sz w:val="24"/>
        </w:rPr>
        <w:t xml:space="preserve"> </w:t>
      </w:r>
      <w:r w:rsidR="00E973F5" w:rsidRPr="003D15B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D15B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3D15BE" w:rsidRDefault="00203261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3D15BE">
        <w:rPr>
          <w:rFonts w:ascii="Times New Roman" w:hAnsi="Times New Roman"/>
          <w:i/>
          <w:sz w:val="24"/>
        </w:rPr>
        <w:t xml:space="preserve">коммерческой части </w:t>
      </w:r>
      <w:r w:rsidRPr="003D15BE">
        <w:rPr>
          <w:rFonts w:ascii="Times New Roman" w:hAnsi="Times New Roman"/>
          <w:i/>
          <w:sz w:val="24"/>
        </w:rPr>
        <w:t>вкладывается</w:t>
      </w:r>
      <w:r w:rsidRPr="003D15BE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D15BE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D15BE">
        <w:rPr>
          <w:rFonts w:ascii="Times New Roman" w:hAnsi="Times New Roman"/>
          <w:sz w:val="24"/>
        </w:rPr>
        <w:t xml:space="preserve"> </w:t>
      </w:r>
      <w:r w:rsidR="00BE3851" w:rsidRPr="003D15BE">
        <w:rPr>
          <w:rFonts w:ascii="Times New Roman" w:hAnsi="Times New Roman"/>
          <w:sz w:val="24"/>
        </w:rPr>
        <w:t>Формы 8 (расшифровка по стоимости затрат)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B736CB">
        <w:rPr>
          <w:rFonts w:ascii="Times New Roman" w:hAnsi="Times New Roman"/>
          <w:sz w:val="24"/>
        </w:rPr>
        <w:t>«Оригинал» коммерческой части</w:t>
      </w:r>
      <w:r w:rsidRPr="003D15BE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47468C">
        <w:rPr>
          <w:rFonts w:ascii="Times New Roman" w:hAnsi="Times New Roman"/>
          <w:b/>
          <w:sz w:val="24"/>
        </w:rPr>
        <w:t>26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47468C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октября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26F52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7468C" w:rsidRDefault="004746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CA31E4">
        <w:rPr>
          <w:rFonts w:ascii="Times New Roman" w:hAnsi="Times New Roman"/>
          <w:b/>
          <w:sz w:val="24"/>
        </w:rPr>
        <w:t>522/ТК/2014г. от 02.09</w:t>
      </w:r>
      <w:r w:rsidR="002229CB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14228E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работ по </w:t>
      </w:r>
      <w:r w:rsidR="00753978">
        <w:rPr>
          <w:rFonts w:ascii="Times New Roman" w:hAnsi="Times New Roman"/>
          <w:sz w:val="24"/>
        </w:rPr>
        <w:t>строительству</w:t>
      </w:r>
      <w:r w:rsidRPr="00354102">
        <w:rPr>
          <w:rFonts w:ascii="Times New Roman" w:hAnsi="Times New Roman"/>
          <w:sz w:val="24"/>
        </w:rPr>
        <w:t xml:space="preserve"> объекта: </w:t>
      </w:r>
      <w:r>
        <w:rPr>
          <w:rFonts w:ascii="Times New Roman" w:hAnsi="Times New Roman"/>
          <w:sz w:val="24"/>
        </w:rPr>
        <w:t>«</w:t>
      </w:r>
      <w:r w:rsidR="009D67D9">
        <w:rPr>
          <w:rFonts w:ascii="Times New Roman" w:hAnsi="Times New Roman"/>
          <w:sz w:val="24"/>
        </w:rPr>
        <w:t>Газотурбинная электростанция (ГТЭС) на Тайлаковском лицензионном участке»</w:t>
      </w:r>
      <w:r>
        <w:rPr>
          <w:rFonts w:ascii="Times New Roman" w:hAnsi="Times New Roman"/>
          <w:sz w:val="24"/>
        </w:rPr>
        <w:t xml:space="preserve"> в  составе стройки: </w:t>
      </w:r>
      <w:r w:rsidR="009D67D9" w:rsidRPr="009D67D9">
        <w:rPr>
          <w:rFonts w:ascii="Times New Roman" w:hAnsi="Times New Roman"/>
          <w:sz w:val="24"/>
        </w:rPr>
        <w:t>Газотурбинная электростанция (ГТЭС) на Тайлаковском лицензионном участке</w:t>
      </w:r>
      <w:r>
        <w:rPr>
          <w:rFonts w:ascii="Times New Roman" w:hAnsi="Times New Roman"/>
          <w:sz w:val="24"/>
        </w:rPr>
        <w:t>»</w:t>
      </w:r>
      <w:r w:rsidRPr="0014228E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1310.1.</w:t>
            </w:r>
            <w:r w:rsidR="009D67D9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942771" w:rsidRPr="0014228E" w:rsidRDefault="009D67D9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7D9">
              <w:rPr>
                <w:rFonts w:ascii="Times New Roman" w:hAnsi="Times New Roman"/>
                <w:sz w:val="24"/>
              </w:rPr>
              <w:t>«Газотурбинная электростанция (ГТЭС) на Тайлаковском лицензионном участке» в  составе стройки: Газотурбинная электростанция (ГТЭС) на Тайлаковском лицензионном участке»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Default="009D67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</w:t>
            </w:r>
            <w:r w:rsidR="00753978">
              <w:rPr>
                <w:rFonts w:ascii="Times New Roman" w:hAnsi="Times New Roman"/>
                <w:sz w:val="24"/>
                <w:szCs w:val="24"/>
              </w:rPr>
              <w:t>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>
              <w:rPr>
                <w:rFonts w:ascii="Times New Roman" w:hAnsi="Times New Roman"/>
                <w:sz w:val="24"/>
                <w:szCs w:val="24"/>
              </w:rPr>
              <w:t xml:space="preserve">2014г. – </w:t>
            </w:r>
          </w:p>
          <w:p w:rsidR="00942771" w:rsidRPr="0014228E" w:rsidRDefault="009D67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>
              <w:rPr>
                <w:rFonts w:ascii="Times New Roman" w:hAnsi="Times New Roman"/>
                <w:sz w:val="24"/>
                <w:szCs w:val="24"/>
              </w:rPr>
              <w:t xml:space="preserve"> 2014г.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94277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2A6463" w:rsidRPr="00244E2D" w:rsidRDefault="002A6463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переправа Ермаковская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A6463" w:rsidRPr="0014228E" w:rsidRDefault="002A6463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D20582">
          <w:headerReference w:type="default" r:id="rId16"/>
          <w:pgSz w:w="11909" w:h="16834"/>
          <w:pgMar w:top="567" w:right="851" w:bottom="993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7468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</w:t>
            </w:r>
            <w:r w:rsidR="0047468C">
              <w:rPr>
                <w:rFonts w:ascii="Times New Roman" w:hAnsi="Times New Roman"/>
                <w:sz w:val="24"/>
              </w:rPr>
              <w:t>282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7468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47468C">
              <w:rPr>
                <w:rFonts w:ascii="Times New Roman" w:hAnsi="Times New Roman"/>
                <w:sz w:val="24"/>
              </w:rPr>
              <w:t>18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47468C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47468C">
              <w:rPr>
                <w:rFonts w:ascii="Times New Roman" w:hAnsi="Times New Roman"/>
                <w:sz w:val="24"/>
              </w:rPr>
              <w:t>2014_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№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1310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AA4E91"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DB172E" w:rsidRPr="000F2EDE">
        <w:rPr>
          <w:rFonts w:ascii="Times New Roman" w:hAnsi="Times New Roman"/>
          <w:b/>
          <w:bCs/>
          <w:color w:val="FF0000"/>
          <w:sz w:val="24"/>
          <w:u w:val="single"/>
        </w:rPr>
        <w:t>ДНС, КНС, УПСВ, КС, котельные и т.п.)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B172E" w:rsidRPr="003D15BE">
        <w:rPr>
          <w:rFonts w:ascii="Times New Roman" w:hAnsi="Times New Roman"/>
          <w:color w:val="FF0000"/>
          <w:sz w:val="24"/>
        </w:rPr>
        <w:t>1310.1.</w:t>
      </w:r>
      <w:r w:rsidR="00A745B4" w:rsidRPr="003D15BE">
        <w:rPr>
          <w:rFonts w:ascii="Times New Roman" w:hAnsi="Times New Roman"/>
          <w:color w:val="FF0000"/>
          <w:sz w:val="24"/>
        </w:rPr>
        <w:t>74</w:t>
      </w:r>
      <w:r w:rsidRPr="003D15BE">
        <w:rPr>
          <w:rFonts w:ascii="Times New Roman" w:hAnsi="Times New Roman"/>
          <w:color w:val="FF0000"/>
          <w:sz w:val="24"/>
        </w:rPr>
        <w:t xml:space="preserve">  </w:t>
      </w:r>
      <w:r w:rsidRPr="00607684">
        <w:rPr>
          <w:rFonts w:ascii="Times New Roman" w:hAnsi="Times New Roman"/>
          <w:sz w:val="24"/>
        </w:rPr>
        <w:t>(форма 9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sz w:val="24"/>
        </w:rPr>
        <w:t>с приложениями №1,2</w:t>
      </w:r>
      <w:r w:rsidRPr="00607684">
        <w:rPr>
          <w:rFonts w:ascii="Times New Roman" w:hAnsi="Times New Roman"/>
          <w:sz w:val="24"/>
        </w:rPr>
        <w:t xml:space="preserve">) -  </w:t>
      </w:r>
      <w:r w:rsidR="00A745B4">
        <w:rPr>
          <w:rFonts w:ascii="Times New Roman" w:hAnsi="Times New Roman"/>
          <w:sz w:val="24"/>
        </w:rPr>
        <w:t>окт</w:t>
      </w:r>
      <w:r w:rsidR="00DB172E">
        <w:rPr>
          <w:rFonts w:ascii="Times New Roman" w:hAnsi="Times New Roman"/>
          <w:sz w:val="24"/>
        </w:rPr>
        <w:t>ябрь</w:t>
      </w:r>
      <w:r w:rsidRPr="00607684">
        <w:rPr>
          <w:rFonts w:ascii="Times New Roman" w:hAnsi="Times New Roman"/>
          <w:sz w:val="24"/>
        </w:rPr>
        <w:t xml:space="preserve"> 2014 г. – </w:t>
      </w:r>
      <w:r w:rsidR="00A745B4">
        <w:rPr>
          <w:rFonts w:ascii="Times New Roman" w:hAnsi="Times New Roman"/>
          <w:sz w:val="24"/>
        </w:rPr>
        <w:t>декабрь</w:t>
      </w:r>
      <w:r w:rsidR="00D25316">
        <w:rPr>
          <w:rFonts w:ascii="Times New Roman" w:hAnsi="Times New Roman"/>
          <w:sz w:val="24"/>
        </w:rPr>
        <w:t xml:space="preserve">  201</w:t>
      </w:r>
      <w:r w:rsidR="00A745B4">
        <w:rPr>
          <w:rFonts w:ascii="Times New Roman" w:hAnsi="Times New Roman"/>
          <w:sz w:val="24"/>
        </w:rPr>
        <w:t>4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 xml:space="preserve">№1310.1.74 </w:t>
      </w:r>
      <w:r w:rsidRPr="003D15BE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F2EDE" w:rsidRDefault="00607684" w:rsidP="00607684">
      <w:pPr>
        <w:ind w:left="709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F2EDE">
        <w:rPr>
          <w:rFonts w:ascii="Times New Roman" w:hAnsi="Times New Roman"/>
          <w:color w:val="FF0000"/>
          <w:sz w:val="24"/>
        </w:rPr>
        <w:t>с даты получения</w:t>
      </w:r>
      <w:proofErr w:type="gramEnd"/>
      <w:r w:rsidRPr="000F2EDE">
        <w:rPr>
          <w:rFonts w:ascii="Times New Roman" w:hAnsi="Times New Roman"/>
          <w:color w:val="FF000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F14864">
        <w:rPr>
          <w:rFonts w:ascii="Times New Roman" w:hAnsi="Times New Roman"/>
          <w:color w:val="FF0000"/>
          <w:sz w:val="24"/>
        </w:rPr>
        <w:t xml:space="preserve"> с приложениями 1,2,3,4,5,5.1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025-2011.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034-2011;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DB172E" w:rsidRPr="000F2EDE">
        <w:rPr>
          <w:rFonts w:ascii="Times New Roman" w:hAnsi="Times New Roman"/>
          <w:color w:val="FF0000"/>
          <w:sz w:val="24"/>
        </w:rPr>
        <w:t>1310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DB172E" w:rsidRPr="000F2EDE">
        <w:rPr>
          <w:rFonts w:ascii="Times New Roman" w:hAnsi="Times New Roman"/>
          <w:color w:val="FF0000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0F2EDE">
        <w:rPr>
          <w:rFonts w:ascii="Times New Roman" w:hAnsi="Times New Roman"/>
          <w:color w:val="FF0000"/>
          <w:sz w:val="24"/>
        </w:rPr>
        <w:t xml:space="preserve"> </w:t>
      </w:r>
      <w:r w:rsidR="00DB172E" w:rsidRPr="000F2EDE">
        <w:rPr>
          <w:rFonts w:ascii="Times New Roman" w:hAnsi="Times New Roman"/>
          <w:color w:val="FF0000"/>
          <w:sz w:val="24"/>
        </w:rPr>
        <w:t>ДНС, КНС, УПСВ, КС, котельные и т.п.)</w:t>
      </w:r>
      <w:r w:rsidRPr="000F2EDE">
        <w:rPr>
          <w:rFonts w:ascii="Times New Roman" w:hAnsi="Times New Roman"/>
          <w:color w:val="FF0000"/>
          <w:sz w:val="24"/>
        </w:rPr>
        <w:t xml:space="preserve">»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EE64A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B172E" w:rsidRPr="000F2EDE">
        <w:rPr>
          <w:rFonts w:ascii="Times New Roman" w:hAnsi="Times New Roman"/>
          <w:color w:val="FF0000"/>
          <w:sz w:val="24"/>
        </w:rPr>
        <w:t>1310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DB172E" w:rsidRPr="000F2EDE">
        <w:rPr>
          <w:rFonts w:ascii="Times New Roman" w:hAnsi="Times New Roman"/>
          <w:color w:val="FF0000"/>
          <w:sz w:val="24"/>
        </w:rPr>
        <w:t xml:space="preserve">Строительство, реконструкция и капитальный ремонт </w:t>
      </w:r>
      <w:r w:rsidR="00DB172E" w:rsidRPr="00EE64AE">
        <w:rPr>
          <w:rFonts w:ascii="Times New Roman" w:hAnsi="Times New Roman"/>
          <w:color w:val="FF0000"/>
          <w:sz w:val="24"/>
        </w:rPr>
        <w:t>площадочных сооружений и комплексов (ЦПС,</w:t>
      </w:r>
      <w:r w:rsidR="00942771" w:rsidRPr="00EE64AE">
        <w:rPr>
          <w:rFonts w:ascii="Times New Roman" w:hAnsi="Times New Roman"/>
          <w:color w:val="FF0000"/>
          <w:sz w:val="24"/>
        </w:rPr>
        <w:t xml:space="preserve"> </w:t>
      </w:r>
      <w:r w:rsidR="00DB172E" w:rsidRPr="00EE64AE">
        <w:rPr>
          <w:rFonts w:ascii="Times New Roman" w:hAnsi="Times New Roman"/>
          <w:color w:val="FF0000"/>
          <w:sz w:val="24"/>
        </w:rPr>
        <w:t>ДНС, КНС, УПСВ, КС, котельные и т.п.)</w:t>
      </w:r>
      <w:r w:rsidRPr="00EE64AE">
        <w:rPr>
          <w:rFonts w:ascii="Times New Roman" w:hAnsi="Times New Roman"/>
          <w:color w:val="FF0000"/>
          <w:sz w:val="24"/>
        </w:rPr>
        <w:t xml:space="preserve">»   </w:t>
      </w:r>
      <w:r w:rsidRPr="00EE64AE">
        <w:rPr>
          <w:rFonts w:ascii="Times New Roman" w:hAnsi="Times New Roman"/>
          <w:sz w:val="24"/>
        </w:rPr>
        <w:t>(Форма 11).</w:t>
      </w:r>
    </w:p>
    <w:p w:rsidR="00337003" w:rsidRPr="00EE64A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EE64AE" w:rsidRDefault="00122C15" w:rsidP="00CC5F64">
      <w:pPr>
        <w:pStyle w:val="ab"/>
        <w:numPr>
          <w:ilvl w:val="0"/>
          <w:numId w:val="29"/>
        </w:num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64AE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E64AE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E64AE" w:rsidRDefault="00D25316" w:rsidP="00CC5F64">
      <w:p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E64AE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CC5F64">
      <w:p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E64A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CC5F64">
      <w:pPr>
        <w:pStyle w:val="ab"/>
        <w:shd w:val="clear" w:color="auto" w:fill="FFFF00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2B39C9" w:rsidRDefault="002B39C9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D25316">
        <w:rPr>
          <w:rFonts w:ascii="Times New Roman" w:hAnsi="Times New Roman"/>
          <w:b/>
          <w:sz w:val="24"/>
        </w:rPr>
        <w:t>1310.1.</w:t>
      </w:r>
      <w:r w:rsidR="007C49C1">
        <w:rPr>
          <w:rFonts w:ascii="Times New Roman" w:hAnsi="Times New Roman"/>
          <w:b/>
          <w:sz w:val="24"/>
        </w:rPr>
        <w:t>74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DB172E">
        <w:rPr>
          <w:rFonts w:ascii="Times New Roman" w:hAnsi="Times New Roman"/>
          <w:sz w:val="24"/>
        </w:rPr>
        <w:t>1310.1.</w:t>
      </w:r>
      <w:r w:rsidR="007C49C1">
        <w:rPr>
          <w:rFonts w:ascii="Times New Roman" w:hAnsi="Times New Roman"/>
          <w:sz w:val="24"/>
        </w:rPr>
        <w:t>74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21" w:rsidRDefault="00726A21">
      <w:pPr>
        <w:spacing w:before="0"/>
      </w:pPr>
      <w:r>
        <w:separator/>
      </w:r>
    </w:p>
  </w:endnote>
  <w:endnote w:type="continuationSeparator" w:id="0">
    <w:p w:rsidR="00726A21" w:rsidRDefault="00726A2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21" w:rsidRDefault="00726A21">
      <w:pPr>
        <w:spacing w:before="0"/>
      </w:pPr>
      <w:r>
        <w:separator/>
      </w:r>
    </w:p>
  </w:footnote>
  <w:footnote w:type="continuationSeparator" w:id="0">
    <w:p w:rsidR="00726A21" w:rsidRDefault="00726A2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26A2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54915"/>
    <w:rsid w:val="00064B65"/>
    <w:rsid w:val="000B2601"/>
    <w:rsid w:val="000D5618"/>
    <w:rsid w:val="000F2EDE"/>
    <w:rsid w:val="00122C15"/>
    <w:rsid w:val="00132CBD"/>
    <w:rsid w:val="0014228E"/>
    <w:rsid w:val="00162DF1"/>
    <w:rsid w:val="00173C8B"/>
    <w:rsid w:val="001B0830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45425"/>
    <w:rsid w:val="00277969"/>
    <w:rsid w:val="002821F4"/>
    <w:rsid w:val="0029507F"/>
    <w:rsid w:val="002A6463"/>
    <w:rsid w:val="002B39C9"/>
    <w:rsid w:val="002B3F26"/>
    <w:rsid w:val="002F50E4"/>
    <w:rsid w:val="0031227B"/>
    <w:rsid w:val="00331DA4"/>
    <w:rsid w:val="00337003"/>
    <w:rsid w:val="0033734E"/>
    <w:rsid w:val="00354102"/>
    <w:rsid w:val="00375A13"/>
    <w:rsid w:val="003A1BA3"/>
    <w:rsid w:val="003D15BE"/>
    <w:rsid w:val="003E1E57"/>
    <w:rsid w:val="003F1714"/>
    <w:rsid w:val="00404678"/>
    <w:rsid w:val="00411973"/>
    <w:rsid w:val="0047468C"/>
    <w:rsid w:val="00475586"/>
    <w:rsid w:val="004B3BF2"/>
    <w:rsid w:val="004B4F45"/>
    <w:rsid w:val="004B57D6"/>
    <w:rsid w:val="004D6C35"/>
    <w:rsid w:val="004E5AD6"/>
    <w:rsid w:val="004F7870"/>
    <w:rsid w:val="00531019"/>
    <w:rsid w:val="0055651B"/>
    <w:rsid w:val="00573C45"/>
    <w:rsid w:val="00591E99"/>
    <w:rsid w:val="005B0A3B"/>
    <w:rsid w:val="005D0427"/>
    <w:rsid w:val="00607684"/>
    <w:rsid w:val="00622423"/>
    <w:rsid w:val="00643A99"/>
    <w:rsid w:val="0066428C"/>
    <w:rsid w:val="0068318F"/>
    <w:rsid w:val="00685E40"/>
    <w:rsid w:val="00692B1B"/>
    <w:rsid w:val="006B1010"/>
    <w:rsid w:val="006C4872"/>
    <w:rsid w:val="006E01BB"/>
    <w:rsid w:val="006F73CA"/>
    <w:rsid w:val="00726A21"/>
    <w:rsid w:val="00744665"/>
    <w:rsid w:val="00753978"/>
    <w:rsid w:val="00765911"/>
    <w:rsid w:val="007A5E6B"/>
    <w:rsid w:val="007C47B2"/>
    <w:rsid w:val="007C49C1"/>
    <w:rsid w:val="007E7A81"/>
    <w:rsid w:val="00807E7A"/>
    <w:rsid w:val="00836294"/>
    <w:rsid w:val="00875B06"/>
    <w:rsid w:val="0088128E"/>
    <w:rsid w:val="0089741C"/>
    <w:rsid w:val="008C15D9"/>
    <w:rsid w:val="008E1922"/>
    <w:rsid w:val="008E3006"/>
    <w:rsid w:val="00942771"/>
    <w:rsid w:val="009A35A4"/>
    <w:rsid w:val="009B4B48"/>
    <w:rsid w:val="009C79EC"/>
    <w:rsid w:val="009D67D9"/>
    <w:rsid w:val="00A552E4"/>
    <w:rsid w:val="00A64528"/>
    <w:rsid w:val="00A7245C"/>
    <w:rsid w:val="00A745B4"/>
    <w:rsid w:val="00AA4E91"/>
    <w:rsid w:val="00AB14AB"/>
    <w:rsid w:val="00AF2163"/>
    <w:rsid w:val="00B02AD9"/>
    <w:rsid w:val="00BA6358"/>
    <w:rsid w:val="00BD769A"/>
    <w:rsid w:val="00BE3851"/>
    <w:rsid w:val="00C23483"/>
    <w:rsid w:val="00C3199D"/>
    <w:rsid w:val="00CA31E4"/>
    <w:rsid w:val="00CC5F64"/>
    <w:rsid w:val="00CD41D4"/>
    <w:rsid w:val="00D20582"/>
    <w:rsid w:val="00D25316"/>
    <w:rsid w:val="00D426F0"/>
    <w:rsid w:val="00D8098D"/>
    <w:rsid w:val="00D9517D"/>
    <w:rsid w:val="00D95F9E"/>
    <w:rsid w:val="00DA36C3"/>
    <w:rsid w:val="00DB172E"/>
    <w:rsid w:val="00DC3B68"/>
    <w:rsid w:val="00DE1F75"/>
    <w:rsid w:val="00DE5037"/>
    <w:rsid w:val="00DF12F9"/>
    <w:rsid w:val="00E17768"/>
    <w:rsid w:val="00E341C9"/>
    <w:rsid w:val="00E973F5"/>
    <w:rsid w:val="00EE64AE"/>
    <w:rsid w:val="00EF4E01"/>
    <w:rsid w:val="00F14864"/>
    <w:rsid w:val="00F4797C"/>
    <w:rsid w:val="00FB3B2E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D84CA-E537-4E13-9D1E-5EBA004A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10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65</cp:revision>
  <cp:lastPrinted>2014-09-05T05:35:00Z</cp:lastPrinted>
  <dcterms:created xsi:type="dcterms:W3CDTF">2014-07-17T07:15:00Z</dcterms:created>
  <dcterms:modified xsi:type="dcterms:W3CDTF">2014-09-18T03:56:00Z</dcterms:modified>
</cp:coreProperties>
</file>