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8579DC">
        <w:rPr>
          <w:rFonts w:ascii="Times New Roman" w:hAnsi="Times New Roman"/>
          <w:sz w:val="24"/>
        </w:rPr>
        <w:t>УМТС</w:t>
      </w:r>
    </w:p>
    <w:p w:rsidR="00D575FF" w:rsidRDefault="00A76A36" w:rsidP="00A76A36">
      <w:pPr>
        <w:widowControl w:val="0"/>
        <w:autoSpaceDE w:val="0"/>
        <w:autoSpaceDN w:val="0"/>
        <w:adjustRightInd w:val="0"/>
        <w:spacing w:line="300" w:lineRule="auto"/>
        <w:ind w:firstLine="709"/>
        <w:jc w:val="both"/>
        <w:rPr>
          <w:rFonts w:ascii="Times New Roman" w:hAnsi="Times New Roman"/>
          <w:b/>
          <w:bCs/>
          <w:sz w:val="24"/>
        </w:rPr>
      </w:pPr>
      <w:r w:rsidRPr="00D910D6">
        <w:rPr>
          <w:rFonts w:ascii="Times New Roman" w:hAnsi="Times New Roman"/>
          <w:b/>
          <w:bCs/>
          <w:sz w:val="24"/>
        </w:rPr>
        <w:t xml:space="preserve">«Объект» - </w:t>
      </w:r>
      <w:r w:rsidR="008579DC" w:rsidRPr="008579DC">
        <w:rPr>
          <w:rFonts w:ascii="Times New Roman" w:hAnsi="Times New Roman"/>
          <w:bCs/>
          <w:sz w:val="24"/>
        </w:rPr>
        <w:t>Блок складов прирельсовой базы химреагентов Инвентарный № 120000002060</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E747C5" w:rsidRDefault="00F42D18" w:rsidP="00D74B9C">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E747C5">
        <w:rPr>
          <w:rFonts w:ascii="Times New Roman" w:hAnsi="Times New Roman"/>
          <w:bCs/>
          <w:sz w:val="24"/>
        </w:rPr>
        <w:t xml:space="preserve"> </w:t>
      </w:r>
      <w:r w:rsidR="008579DC" w:rsidRPr="008579DC">
        <w:rPr>
          <w:rFonts w:ascii="Times New Roman" w:hAnsi="Times New Roman"/>
          <w:bCs/>
          <w:sz w:val="24"/>
        </w:rPr>
        <w:t>Блок складов прирельсовой базы химреагентов Инвентарный № 120000002060</w:t>
      </w:r>
      <w:bookmarkStart w:id="0" w:name="_GoBack"/>
      <w:bookmarkEnd w:id="0"/>
      <w:r w:rsidR="005D6048">
        <w:rPr>
          <w:rFonts w:ascii="Times New Roman" w:hAnsi="Times New Roman"/>
          <w:bCs/>
          <w:sz w:val="24"/>
        </w:rPr>
        <w:t>.</w:t>
      </w:r>
      <w:r w:rsidR="00A60658" w:rsidRPr="00A3355F">
        <w:rPr>
          <w:rFonts w:ascii="Times New Roman" w:hAnsi="Times New Roman"/>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w:t>
      </w:r>
      <w:r w:rsidR="00D910D6">
        <w:rPr>
          <w:rFonts w:ascii="Times New Roman" w:hAnsi="Times New Roman"/>
          <w:sz w:val="24"/>
        </w:rPr>
        <w:t>контроля закупочных процедур</w:t>
      </w:r>
      <w:r w:rsidRPr="00967CF3">
        <w:rPr>
          <w:rFonts w:ascii="Times New Roman" w:hAnsi="Times New Roman"/>
          <w:sz w:val="24"/>
        </w:rPr>
        <w:t>.</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BAC" w:rsidRDefault="00E83BAC">
      <w:r>
        <w:separator/>
      </w:r>
    </w:p>
  </w:endnote>
  <w:endnote w:type="continuationSeparator" w:id="0">
    <w:p w:rsidR="00E83BAC" w:rsidRDefault="00E83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8579DC">
      <w:rPr>
        <w:rStyle w:val="ae"/>
        <w:noProof/>
      </w:rPr>
      <w:t>6</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BAC" w:rsidRDefault="00E83BAC">
      <w:r>
        <w:separator/>
      </w:r>
    </w:p>
  </w:footnote>
  <w:footnote w:type="continuationSeparator" w:id="0">
    <w:p w:rsidR="00E83BAC" w:rsidRDefault="00E83B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51C7"/>
    <w:rsid w:val="000A7BA5"/>
    <w:rsid w:val="000E104B"/>
    <w:rsid w:val="00125A22"/>
    <w:rsid w:val="001352B0"/>
    <w:rsid w:val="001A42F1"/>
    <w:rsid w:val="001B5570"/>
    <w:rsid w:val="001D348F"/>
    <w:rsid w:val="001E676D"/>
    <w:rsid w:val="00211CA4"/>
    <w:rsid w:val="002120B2"/>
    <w:rsid w:val="00232C32"/>
    <w:rsid w:val="002D027F"/>
    <w:rsid w:val="003143CA"/>
    <w:rsid w:val="0032254D"/>
    <w:rsid w:val="003351E3"/>
    <w:rsid w:val="0033613F"/>
    <w:rsid w:val="00381B78"/>
    <w:rsid w:val="00392368"/>
    <w:rsid w:val="003C58BB"/>
    <w:rsid w:val="003F418B"/>
    <w:rsid w:val="00442FF3"/>
    <w:rsid w:val="00461478"/>
    <w:rsid w:val="004D5260"/>
    <w:rsid w:val="0050117D"/>
    <w:rsid w:val="005A330A"/>
    <w:rsid w:val="005B7CB8"/>
    <w:rsid w:val="005D6048"/>
    <w:rsid w:val="005E0969"/>
    <w:rsid w:val="00612C79"/>
    <w:rsid w:val="00651E3E"/>
    <w:rsid w:val="006970B3"/>
    <w:rsid w:val="006A1EC0"/>
    <w:rsid w:val="006E7D5F"/>
    <w:rsid w:val="007020A3"/>
    <w:rsid w:val="00723FA7"/>
    <w:rsid w:val="007322F0"/>
    <w:rsid w:val="007A52A2"/>
    <w:rsid w:val="007D5B6E"/>
    <w:rsid w:val="007F3C61"/>
    <w:rsid w:val="00826D68"/>
    <w:rsid w:val="00837C7F"/>
    <w:rsid w:val="008579DC"/>
    <w:rsid w:val="008B53CC"/>
    <w:rsid w:val="008D051A"/>
    <w:rsid w:val="00913365"/>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847"/>
    <w:rsid w:val="00BE4E22"/>
    <w:rsid w:val="00BE5027"/>
    <w:rsid w:val="00C11DC5"/>
    <w:rsid w:val="00C24DCF"/>
    <w:rsid w:val="00C60302"/>
    <w:rsid w:val="00C67D55"/>
    <w:rsid w:val="00C7260F"/>
    <w:rsid w:val="00CE7972"/>
    <w:rsid w:val="00D013D3"/>
    <w:rsid w:val="00D26A33"/>
    <w:rsid w:val="00D32409"/>
    <w:rsid w:val="00D575FF"/>
    <w:rsid w:val="00D74B9C"/>
    <w:rsid w:val="00D910D6"/>
    <w:rsid w:val="00D9754C"/>
    <w:rsid w:val="00DE1487"/>
    <w:rsid w:val="00DE1907"/>
    <w:rsid w:val="00DE6D55"/>
    <w:rsid w:val="00E23165"/>
    <w:rsid w:val="00E26A1A"/>
    <w:rsid w:val="00E55435"/>
    <w:rsid w:val="00E747C5"/>
    <w:rsid w:val="00E83BAC"/>
    <w:rsid w:val="00ED01AA"/>
    <w:rsid w:val="00F310A7"/>
    <w:rsid w:val="00F42D18"/>
    <w:rsid w:val="00F824B5"/>
    <w:rsid w:val="00FB6CB5"/>
    <w:rsid w:val="00FC1EE6"/>
    <w:rsid w:val="00FD136A"/>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15899</Words>
  <Characters>90627</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15</cp:revision>
  <cp:lastPrinted>2016-01-11T05:12:00Z</cp:lastPrinted>
  <dcterms:created xsi:type="dcterms:W3CDTF">2016-03-11T09:21:00Z</dcterms:created>
  <dcterms:modified xsi:type="dcterms:W3CDTF">2016-04-20T10:48:00Z</dcterms:modified>
</cp:coreProperties>
</file>