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bookmarkStart w:id="0" w:name="_GoBack"/>
      <w:bookmarkEnd w:id="0"/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1370B8" w:rsidRPr="001370B8">
        <w:rPr>
          <w:iCs/>
          <w:highlight w:val="lightGray"/>
        </w:rPr>
        <w:t>11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>Под действиями работками, осуществляемыми в пользу стимулирующей его Стороны понимаются: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с даты внесения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 )</w:t>
                  </w:r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№ п/п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34" w:rsidRDefault="00131F34" w:rsidP="00180225">
      <w:r>
        <w:separator/>
      </w:r>
    </w:p>
  </w:endnote>
  <w:endnote w:type="continuationSeparator" w:id="0">
    <w:p w:rsidR="00131F34" w:rsidRDefault="00131F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34" w:rsidRDefault="00131F34" w:rsidP="00180225">
      <w:r>
        <w:separator/>
      </w:r>
    </w:p>
  </w:footnote>
  <w:footnote w:type="continuationSeparator" w:id="0">
    <w:p w:rsidR="00131F34" w:rsidRDefault="00131F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56A02D-112F-48A5-A423-1A37B068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2</cp:revision>
  <cp:lastPrinted>2014-10-03T07:32:00Z</cp:lastPrinted>
  <dcterms:created xsi:type="dcterms:W3CDTF">2015-07-25T06:31:00Z</dcterms:created>
  <dcterms:modified xsi:type="dcterms:W3CDTF">2015-07-25T06:31:00Z</dcterms:modified>
</cp:coreProperties>
</file>