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2E2B33" w:rsidRDefault="002E70B6" w:rsidP="002E2B33">
      <w:pPr>
        <w:pStyle w:val="a8"/>
        <w:numPr>
          <w:ilvl w:val="1"/>
          <w:numId w:val="16"/>
        </w:numPr>
        <w:spacing w:after="0" w:line="240" w:lineRule="auto"/>
        <w:jc w:val="both"/>
        <w:rPr>
          <w:rFonts w:ascii="Times New Roman" w:hAnsi="Times New Roman"/>
          <w:sz w:val="24"/>
          <w:szCs w:val="24"/>
          <w:lang w:eastAsia="ru-RU"/>
        </w:rPr>
      </w:pPr>
      <w:r w:rsidRPr="002E2B33">
        <w:rPr>
          <w:rFonts w:ascii="Times New Roman" w:hAnsi="Times New Roman"/>
          <w:bCs/>
          <w:sz w:val="24"/>
          <w:szCs w:val="24"/>
          <w:lang w:eastAsia="ru-RU"/>
        </w:rPr>
        <w:lastRenderedPageBreak/>
        <w:t>Поставщик</w:t>
      </w:r>
      <w:r w:rsidRPr="002E2B33">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2B33">
        <w:rPr>
          <w:rFonts w:ascii="Times New Roman" w:hAnsi="Times New Roman"/>
          <w:bCs/>
          <w:sz w:val="24"/>
          <w:szCs w:val="24"/>
          <w:lang w:eastAsia="ru-RU"/>
        </w:rPr>
        <w:t>Покупатель</w:t>
      </w:r>
      <w:r w:rsidRPr="002E2B33">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2B33" w:rsidRPr="00C5724E" w:rsidRDefault="002E2B33" w:rsidP="002E2B33">
      <w:pPr>
        <w:spacing w:after="0" w:line="240" w:lineRule="auto"/>
        <w:ind w:firstLine="567"/>
        <w:jc w:val="both"/>
        <w:rPr>
          <w:rFonts w:ascii="Times New Roman" w:eastAsia="Times New Roman" w:hAnsi="Times New Roman"/>
          <w:b/>
          <w:bCs/>
          <w:sz w:val="24"/>
          <w:szCs w:val="24"/>
          <w:highlight w:val="lightGray"/>
          <w:lang w:eastAsia="ru-RU"/>
        </w:rPr>
      </w:pPr>
      <w:r w:rsidRPr="00C5724E">
        <w:rPr>
          <w:rFonts w:ascii="Times New Roman" w:eastAsia="Times New Roman" w:hAnsi="Times New Roman"/>
          <w:sz w:val="24"/>
          <w:szCs w:val="24"/>
          <w:highlight w:val="lightGray"/>
          <w:lang w:eastAsia="ru-RU"/>
        </w:rPr>
        <w:t xml:space="preserve">2.2. Технические характеристики и функциональные возможности Товара определены в Приложениях № </w:t>
      </w:r>
      <w:r>
        <w:rPr>
          <w:rFonts w:ascii="Times New Roman" w:eastAsia="Times New Roman" w:hAnsi="Times New Roman"/>
          <w:sz w:val="24"/>
          <w:szCs w:val="24"/>
          <w:highlight w:val="lightGray"/>
          <w:lang w:eastAsia="ru-RU"/>
        </w:rPr>
        <w:t>4</w:t>
      </w:r>
      <w:r w:rsidRPr="00C5724E">
        <w:rPr>
          <w:rFonts w:ascii="Times New Roman" w:eastAsia="Times New Roman" w:hAnsi="Times New Roman"/>
          <w:sz w:val="24"/>
          <w:szCs w:val="24"/>
          <w:highlight w:val="lightGray"/>
          <w:lang w:eastAsia="ru-RU"/>
        </w:rPr>
        <w:t xml:space="preserve">. </w:t>
      </w:r>
    </w:p>
    <w:p w:rsidR="002E70B6" w:rsidRDefault="002E70B6" w:rsidP="002E2B33">
      <w:pPr>
        <w:spacing w:after="0" w:line="240" w:lineRule="auto"/>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01C53" w:rsidRDefault="002E70B6" w:rsidP="002E2B33">
      <w:pPr>
        <w:pStyle w:val="a8"/>
        <w:numPr>
          <w:ilvl w:val="0"/>
          <w:numId w:val="21"/>
        </w:numPr>
        <w:jc w:val="center"/>
        <w:rPr>
          <w:rFonts w:ascii="Times New Roman" w:hAnsi="Times New Roman"/>
          <w:b/>
          <w:sz w:val="24"/>
          <w:szCs w:val="24"/>
          <w:lang w:eastAsia="ru-RU"/>
        </w:rPr>
      </w:pPr>
      <w:r w:rsidRPr="00F01C53">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w:t>
      </w:r>
      <w:r w:rsidRPr="002E70B6">
        <w:rPr>
          <w:rFonts w:ascii="Times New Roman" w:hAnsi="Times New Roman"/>
          <w:sz w:val="24"/>
          <w:szCs w:val="24"/>
          <w:lang w:eastAsia="ru-RU"/>
        </w:rPr>
        <w:lastRenderedPageBreak/>
        <w:t>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w:t>
      </w:r>
      <w:r w:rsidRPr="002E70B6">
        <w:rPr>
          <w:rFonts w:ascii="Times New Roman" w:hAnsi="Times New Roman"/>
          <w:sz w:val="24"/>
          <w:szCs w:val="24"/>
          <w:lang w:eastAsia="ru-RU"/>
        </w:rPr>
        <w:lastRenderedPageBreak/>
        <w:t>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2B33">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2B33">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2B33">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2B33">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 xml:space="preserve">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w:t>
      </w:r>
      <w:r w:rsidRPr="002E70B6">
        <w:rPr>
          <w:rFonts w:ascii="Times New Roman" w:hAnsi="Times New Roman"/>
          <w:color w:val="101A27"/>
          <w:sz w:val="24"/>
          <w:szCs w:val="24"/>
        </w:rPr>
        <w:lastRenderedPageBreak/>
        <w:t>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Pr="00C5724E" w:rsidRDefault="002E70B6" w:rsidP="00762F2B">
      <w:pPr>
        <w:pStyle w:val="a8"/>
        <w:numPr>
          <w:ilvl w:val="0"/>
          <w:numId w:val="19"/>
        </w:numPr>
        <w:spacing w:after="0" w:line="240" w:lineRule="auto"/>
        <w:jc w:val="center"/>
        <w:rPr>
          <w:rFonts w:ascii="Times New Roman" w:eastAsia="Times New Roman" w:hAnsi="Times New Roman"/>
          <w:b/>
          <w:bCs/>
          <w:sz w:val="24"/>
          <w:szCs w:val="24"/>
          <w:highlight w:val="lightGray"/>
          <w:lang w:eastAsia="ru-RU"/>
        </w:rPr>
      </w:pPr>
      <w:r w:rsidRPr="002E70B6">
        <w:rPr>
          <w:rFonts w:ascii="Times New Roman" w:hAnsi="Times New Roman"/>
          <w:b/>
          <w:sz w:val="24"/>
          <w:szCs w:val="24"/>
          <w:lang w:eastAsia="ru-RU"/>
        </w:rPr>
        <w:t xml:space="preserve"> </w:t>
      </w:r>
      <w:r w:rsidR="00762F2B" w:rsidRPr="00C5724E">
        <w:rPr>
          <w:rFonts w:ascii="Times New Roman" w:eastAsia="Times New Roman" w:hAnsi="Times New Roman"/>
          <w:b/>
          <w:bCs/>
          <w:sz w:val="24"/>
          <w:szCs w:val="24"/>
          <w:highlight w:val="lightGray"/>
          <w:lang w:eastAsia="ru-RU"/>
        </w:rPr>
        <w:t>Гарантийные обязательства</w:t>
      </w:r>
    </w:p>
    <w:p w:rsidR="00762F2B" w:rsidRPr="00C5724E" w:rsidRDefault="00762F2B" w:rsidP="00762F2B">
      <w:pPr>
        <w:pStyle w:val="a8"/>
        <w:spacing w:after="0" w:line="240" w:lineRule="auto"/>
        <w:ind w:left="390"/>
        <w:rPr>
          <w:rFonts w:ascii="Times New Roman" w:eastAsia="Times New Roman" w:hAnsi="Times New Roman"/>
          <w:b/>
          <w:bCs/>
          <w:sz w:val="24"/>
          <w:szCs w:val="24"/>
          <w:highlight w:val="lightGray"/>
          <w:lang w:eastAsia="ru-RU"/>
        </w:rPr>
      </w:pPr>
    </w:p>
    <w:p w:rsidR="00762F2B"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       </w:t>
      </w:r>
    </w:p>
    <w:p w:rsidR="00762F2B" w:rsidRPr="00C5724E"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w:t>
      </w:r>
      <w:proofErr w:type="gramStart"/>
      <w:r w:rsidRPr="00A50855">
        <w:rPr>
          <w:rFonts w:ascii="Times New Roman" w:eastAsia="Times New Roman" w:hAnsi="Times New Roman"/>
          <w:bCs/>
          <w:sz w:val="24"/>
          <w:szCs w:val="24"/>
          <w:lang w:eastAsia="ru-RU"/>
        </w:rPr>
        <w:t>с даты поставки</w:t>
      </w:r>
      <w:proofErr w:type="gramEnd"/>
      <w:r w:rsidRPr="00A50855">
        <w:rPr>
          <w:rFonts w:ascii="Times New Roman" w:eastAsia="Times New Roman" w:hAnsi="Times New Roman"/>
          <w:bCs/>
          <w:sz w:val="24"/>
          <w:szCs w:val="24"/>
          <w:lang w:eastAsia="ru-RU"/>
        </w:rPr>
        <w:t xml:space="preserve"> Покупателю</w:t>
      </w:r>
      <w:r w:rsidRPr="00C5724E">
        <w:rPr>
          <w:rFonts w:ascii="Times New Roman" w:eastAsia="Times New Roman" w:hAnsi="Times New Roman"/>
          <w:bCs/>
          <w:sz w:val="24"/>
          <w:szCs w:val="24"/>
          <w:highlight w:val="lightGray"/>
          <w:lang w:eastAsia="ru-RU"/>
        </w:rPr>
        <w:t>;</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w:t>
      </w:r>
      <w:proofErr w:type="gramStart"/>
      <w:r w:rsidRPr="00C5724E">
        <w:rPr>
          <w:rFonts w:ascii="Times New Roman" w:eastAsia="Times New Roman" w:hAnsi="Times New Roman"/>
          <w:bCs/>
          <w:sz w:val="24"/>
          <w:szCs w:val="24"/>
          <w:highlight w:val="lightGray"/>
          <w:lang w:eastAsia="ru-RU"/>
        </w:rPr>
        <w:t>с даты начала</w:t>
      </w:r>
      <w:proofErr w:type="gramEnd"/>
      <w:r w:rsidRPr="00C5724E">
        <w:rPr>
          <w:rFonts w:ascii="Times New Roman" w:eastAsia="Times New Roman" w:hAnsi="Times New Roman"/>
          <w:bCs/>
          <w:sz w:val="24"/>
          <w:szCs w:val="24"/>
          <w:highlight w:val="lightGray"/>
          <w:lang w:eastAsia="ru-RU"/>
        </w:rPr>
        <w:t xml:space="preserve"> эксплуатации Товара Покупателем.</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762F2B" w:rsidRPr="00DD2FF1" w:rsidRDefault="00762F2B" w:rsidP="00762F2B">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762F2B" w:rsidRPr="002C5923" w:rsidRDefault="00762F2B" w:rsidP="00762F2B">
      <w:pPr>
        <w:spacing w:after="0" w:line="240" w:lineRule="auto"/>
        <w:rPr>
          <w:rFonts w:ascii="Times New Roman" w:eastAsia="Times New Roman" w:hAnsi="Times New Roman"/>
          <w:bCs/>
          <w:sz w:val="24"/>
          <w:szCs w:val="24"/>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F01C53" w:rsidRDefault="00F01C53"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D04BDD" w:rsidP="002E70B6">
      <w:pPr>
        <w:spacing w:after="0" w:line="240" w:lineRule="auto"/>
        <w:jc w:val="both"/>
        <w:rPr>
          <w:rFonts w:ascii="Times New Roman" w:hAnsi="Times New Roman"/>
          <w:b/>
          <w:bCs/>
          <w:sz w:val="24"/>
          <w:szCs w:val="24"/>
          <w:lang w:eastAsia="ru-RU"/>
        </w:rPr>
      </w:pPr>
      <w:r>
        <w:rPr>
          <w:rFonts w:ascii="Times New Roman" w:hAnsi="Times New Roman"/>
          <w:sz w:val="24"/>
          <w:szCs w:val="24"/>
          <w:lang w:eastAsia="ru-RU"/>
        </w:rPr>
        <w:t xml:space="preserve">            10</w:t>
      </w:r>
      <w:r w:rsidR="002E70B6"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D04BDD">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 xml:space="preserve">.15.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w:t>
      </w:r>
      <w:r w:rsidRPr="002E70B6">
        <w:rPr>
          <w:rFonts w:ascii="Times New Roman" w:hAnsi="Times New Roman"/>
          <w:sz w:val="24"/>
          <w:szCs w:val="24"/>
          <w:lang w:eastAsia="ru-RU"/>
        </w:rPr>
        <w:lastRenderedPageBreak/>
        <w:t>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D04BDD">
        <w:rPr>
          <w:rFonts w:ascii="Times New Roman" w:hAnsi="Times New Roman"/>
          <w:sz w:val="24"/>
          <w:szCs w:val="24"/>
          <w:lang w:eastAsia="ru-RU"/>
        </w:rPr>
        <w:t>10</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814BD6" w:rsidRDefault="00814BD6" w:rsidP="002E70B6">
      <w:pPr>
        <w:tabs>
          <w:tab w:val="num" w:pos="0"/>
        </w:tabs>
        <w:spacing w:after="0" w:line="240" w:lineRule="auto"/>
        <w:ind w:firstLine="709"/>
        <w:jc w:val="both"/>
        <w:rPr>
          <w:rFonts w:ascii="Times New Roman" w:hAnsi="Times New Roman"/>
          <w:b/>
          <w:sz w:val="24"/>
          <w:szCs w:val="24"/>
        </w:rPr>
      </w:pPr>
      <w:r>
        <w:rPr>
          <w:rFonts w:ascii="Times New Roman" w:hAnsi="Times New Roman"/>
          <w:bCs/>
          <w:sz w:val="24"/>
          <w:szCs w:val="24"/>
          <w:lang w:eastAsia="ru-RU"/>
        </w:rPr>
        <w:t>Приложение № 4 – Техническое задание</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p>
    <w:p w:rsidR="00D04BDD" w:rsidRDefault="00D04BDD" w:rsidP="00BD328D">
      <w:pPr>
        <w:spacing w:after="0" w:line="240" w:lineRule="auto"/>
        <w:jc w:val="right"/>
        <w:rPr>
          <w:rFonts w:ascii="Times New Roman" w:eastAsia="Times New Roman" w:hAnsi="Times New Roman"/>
          <w:bCs/>
          <w:lang w:eastAsia="ru-RU"/>
        </w:rPr>
      </w:pPr>
      <w:bookmarkStart w:id="0" w:name="_GoBack"/>
      <w:bookmarkEnd w:id="0"/>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1067D4"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9"/>
      <w:footerReference w:type="default" r:id="rId10"/>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7D4" w:rsidRDefault="001067D4">
      <w:pPr>
        <w:spacing w:after="0" w:line="240" w:lineRule="auto"/>
      </w:pPr>
      <w:r>
        <w:separator/>
      </w:r>
    </w:p>
  </w:endnote>
  <w:endnote w:type="continuationSeparator" w:id="0">
    <w:p w:rsidR="001067D4" w:rsidRDefault="0010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1067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04BDD">
      <w:rPr>
        <w:rStyle w:val="a5"/>
        <w:noProof/>
      </w:rPr>
      <w:t>4</w:t>
    </w:r>
    <w:r>
      <w:rPr>
        <w:rStyle w:val="a5"/>
      </w:rPr>
      <w:fldChar w:fldCharType="end"/>
    </w:r>
  </w:p>
  <w:p w:rsidR="00DD2FF1" w:rsidRDefault="001067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7D4" w:rsidRDefault="001067D4">
      <w:pPr>
        <w:spacing w:after="0" w:line="240" w:lineRule="auto"/>
      </w:pPr>
      <w:r>
        <w:separator/>
      </w:r>
    </w:p>
  </w:footnote>
  <w:footnote w:type="continuationSeparator" w:id="0">
    <w:p w:rsidR="001067D4" w:rsidRDefault="001067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5342C63"/>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8"/>
  </w:num>
  <w:num w:numId="3">
    <w:abstractNumId w:val="5"/>
  </w:num>
  <w:num w:numId="4">
    <w:abstractNumId w:val="8"/>
  </w:num>
  <w:num w:numId="5">
    <w:abstractNumId w:val="17"/>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067D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2B33"/>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04BDD"/>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9C3B-A356-4A75-B718-9815AA47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18</Pages>
  <Words>7223</Words>
  <Characters>41175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4</cp:revision>
  <dcterms:created xsi:type="dcterms:W3CDTF">2016-04-16T04:30:00Z</dcterms:created>
  <dcterms:modified xsi:type="dcterms:W3CDTF">2016-04-18T09:06:00Z</dcterms:modified>
</cp:coreProperties>
</file>