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545" w:rsidRDefault="00DC5545">
      <w:bookmarkStart w:id="0" w:name="_GoBack"/>
      <w:bookmarkEnd w:id="0"/>
    </w:p>
    <w:p w:rsidR="00DC5545" w:rsidRDefault="00DC5545"/>
    <w:p w:rsidR="00DC5545" w:rsidRDefault="00DC5545"/>
    <w:tbl>
      <w:tblPr>
        <w:tblW w:w="0" w:type="auto"/>
        <w:tblLook w:val="00A0" w:firstRow="1" w:lastRow="0" w:firstColumn="1" w:lastColumn="0" w:noHBand="0" w:noVBand="0"/>
      </w:tblPr>
      <w:tblGrid>
        <w:gridCol w:w="4785"/>
        <w:gridCol w:w="4786"/>
      </w:tblGrid>
      <w:tr w:rsidR="004B20C3" w:rsidRPr="00F01FA4" w:rsidTr="00C17DEC">
        <w:tc>
          <w:tcPr>
            <w:tcW w:w="4785" w:type="dxa"/>
          </w:tcPr>
          <w:p w:rsidR="00DC5545" w:rsidRPr="007E57A5" w:rsidRDefault="00DC5545" w:rsidP="00DC5545">
            <w:pPr>
              <w:rPr>
                <w:b/>
                <w:sz w:val="20"/>
                <w:szCs w:val="20"/>
                <w:highlight w:val="lightGray"/>
              </w:rPr>
            </w:pPr>
            <w:r w:rsidRPr="007E57A5">
              <w:rPr>
                <w:b/>
                <w:sz w:val="20"/>
                <w:szCs w:val="20"/>
                <w:highlight w:val="lightGray"/>
              </w:rPr>
              <w:t>Приложение № 13</w:t>
            </w:r>
          </w:p>
          <w:p w:rsidR="00DC5545" w:rsidRPr="007E57A5" w:rsidRDefault="00DC5545" w:rsidP="00DC5545">
            <w:pPr>
              <w:rPr>
                <w:b/>
                <w:sz w:val="20"/>
                <w:szCs w:val="20"/>
                <w:highlight w:val="lightGray"/>
              </w:rPr>
            </w:pPr>
            <w:r w:rsidRPr="007E57A5">
              <w:rPr>
                <w:b/>
                <w:sz w:val="20"/>
                <w:szCs w:val="20"/>
                <w:highlight w:val="lightGray"/>
              </w:rPr>
              <w:t>к договору  № ________</w:t>
            </w:r>
          </w:p>
          <w:p w:rsidR="005776C0" w:rsidRPr="00D54933" w:rsidRDefault="00DC5545" w:rsidP="00851AE3">
            <w:pPr>
              <w:rPr>
                <w:b/>
                <w:sz w:val="20"/>
                <w:szCs w:val="20"/>
              </w:rPr>
            </w:pPr>
            <w:r w:rsidRPr="007E57A5">
              <w:rPr>
                <w:b/>
                <w:sz w:val="20"/>
                <w:szCs w:val="20"/>
                <w:highlight w:val="lightGray"/>
              </w:rPr>
              <w:t>от  «___»  ________ 20____г.</w:t>
            </w:r>
          </w:p>
        </w:tc>
        <w:tc>
          <w:tcPr>
            <w:tcW w:w="4786" w:type="dxa"/>
          </w:tcPr>
          <w:p w:rsidR="00DC5545" w:rsidRDefault="00DC5545" w:rsidP="00404B25">
            <w:pPr>
              <w:pStyle w:val="a4"/>
              <w:ind w:left="460"/>
              <w:rPr>
                <w:rFonts w:ascii="Times New Roman" w:hAnsi="Times New Roman"/>
                <w:sz w:val="24"/>
                <w:szCs w:val="24"/>
              </w:rPr>
            </w:pPr>
          </w:p>
          <w:p w:rsidR="00DC5545" w:rsidRDefault="00DC5545" w:rsidP="00404B25">
            <w:pPr>
              <w:pStyle w:val="a4"/>
              <w:ind w:left="460"/>
              <w:rPr>
                <w:rFonts w:ascii="Times New Roman" w:hAnsi="Times New Roman"/>
                <w:sz w:val="24"/>
                <w:szCs w:val="24"/>
              </w:rPr>
            </w:pPr>
          </w:p>
          <w:p w:rsidR="00DC5545" w:rsidRDefault="00DC5545" w:rsidP="00404B25">
            <w:pPr>
              <w:pStyle w:val="a4"/>
              <w:ind w:left="460"/>
              <w:rPr>
                <w:rFonts w:ascii="Times New Roman" w:hAnsi="Times New Roman"/>
                <w:sz w:val="24"/>
                <w:szCs w:val="24"/>
              </w:rPr>
            </w:pPr>
          </w:p>
          <w:p w:rsidR="00DC5545" w:rsidRDefault="00DC5545" w:rsidP="00404B25">
            <w:pPr>
              <w:pStyle w:val="a4"/>
              <w:ind w:left="460"/>
              <w:rPr>
                <w:rFonts w:ascii="Times New Roman" w:hAnsi="Times New Roman"/>
                <w:sz w:val="24"/>
                <w:szCs w:val="24"/>
              </w:rPr>
            </w:pPr>
          </w:p>
          <w:p w:rsidR="004B20C3" w:rsidRPr="00C17DEC" w:rsidRDefault="004B20C3" w:rsidP="00D274A7">
            <w:pPr>
              <w:pStyle w:val="a4"/>
              <w:ind w:left="460"/>
              <w:rPr>
                <w:rFonts w:ascii="Times New Roman" w:hAnsi="Times New Roman"/>
                <w:sz w:val="24"/>
                <w:szCs w:val="24"/>
              </w:rPr>
            </w:pPr>
          </w:p>
        </w:tc>
      </w:tr>
    </w:tbl>
    <w:p w:rsidR="004B20C3" w:rsidRDefault="004B20C3" w:rsidP="00797FA2">
      <w:pPr>
        <w:pStyle w:val="3"/>
        <w:jc w:val="center"/>
      </w:pPr>
      <w:r w:rsidRPr="00F01620">
        <w:t>ТЕХНИЧЕСКОЕ ЗАДАНИЕ</w:t>
      </w:r>
    </w:p>
    <w:p w:rsidR="004B20C3" w:rsidRPr="00D54933" w:rsidRDefault="00952993" w:rsidP="00D54933">
      <w:pPr>
        <w:pStyle w:val="3"/>
        <w:jc w:val="center"/>
      </w:pPr>
      <w:r w:rsidRPr="007E57A5">
        <w:rPr>
          <w:highlight w:val="lightGray"/>
        </w:rPr>
        <w:t>Н</w:t>
      </w:r>
      <w:r w:rsidR="0094521C" w:rsidRPr="007E57A5">
        <w:rPr>
          <w:highlight w:val="lightGray"/>
        </w:rPr>
        <w:t xml:space="preserve">а выполнение работ </w:t>
      </w:r>
      <w:r w:rsidR="00EF0CE2" w:rsidRPr="007E57A5">
        <w:rPr>
          <w:highlight w:val="lightGray"/>
        </w:rPr>
        <w:t xml:space="preserve">с </w:t>
      </w:r>
      <w:r w:rsidR="00E3772D" w:rsidRPr="007E57A5">
        <w:rPr>
          <w:highlight w:val="lightGray"/>
        </w:rPr>
        <w:t>использованием</w:t>
      </w:r>
      <w:r w:rsidR="0094521C" w:rsidRPr="007E57A5">
        <w:rPr>
          <w:highlight w:val="lightGray"/>
        </w:rPr>
        <w:t xml:space="preserve"> комплексов ГНКТ</w:t>
      </w:r>
      <w:r w:rsidR="00D65ED7" w:rsidRPr="007E57A5">
        <w:rPr>
          <w:highlight w:val="lightGray"/>
        </w:rPr>
        <w:t xml:space="preserve"> </w:t>
      </w:r>
      <w:r w:rsidR="004B20C3" w:rsidRPr="007E57A5">
        <w:rPr>
          <w:highlight w:val="lightGray"/>
        </w:rPr>
        <w:t>на лицензионных участках ОАО «Славнефть-Мегионнефтегаз» в 20</w:t>
      </w:r>
      <w:r w:rsidR="00D274A7" w:rsidRPr="007E57A5">
        <w:rPr>
          <w:highlight w:val="lightGray"/>
        </w:rPr>
        <w:t>___</w:t>
      </w:r>
      <w:r w:rsidR="004B20C3" w:rsidRPr="007E57A5">
        <w:rPr>
          <w:highlight w:val="lightGray"/>
        </w:rPr>
        <w:t xml:space="preserve"> году.</w:t>
      </w:r>
    </w:p>
    <w:p w:rsidR="00F605D4" w:rsidRPr="00EC6B2E" w:rsidRDefault="00F605D4" w:rsidP="00EC6B2E">
      <w:pPr>
        <w:pStyle w:val="3"/>
        <w:numPr>
          <w:ilvl w:val="0"/>
          <w:numId w:val="6"/>
        </w:numPr>
        <w:ind w:left="0" w:firstLine="709"/>
        <w:jc w:val="both"/>
        <w:rPr>
          <w:rStyle w:val="aa"/>
          <w:b/>
        </w:rPr>
      </w:pPr>
      <w:r w:rsidRPr="00EC6B2E">
        <w:rPr>
          <w:rStyle w:val="aa"/>
          <w:b/>
        </w:rPr>
        <w:t>Общая часть</w:t>
      </w:r>
    </w:p>
    <w:p w:rsidR="00F605D4" w:rsidRDefault="00F605D4" w:rsidP="00797FA2">
      <w:pPr>
        <w:numPr>
          <w:ilvl w:val="1"/>
          <w:numId w:val="6"/>
        </w:numPr>
        <w:ind w:left="0" w:firstLine="709"/>
        <w:jc w:val="both"/>
      </w:pPr>
      <w:r>
        <w:t xml:space="preserve">Цель работ </w:t>
      </w:r>
      <w:r w:rsidR="00913927">
        <w:t>–</w:t>
      </w:r>
      <w:r>
        <w:t xml:space="preserve"> </w:t>
      </w:r>
      <w:r w:rsidR="00913927">
        <w:t>выполнение работ с использованием комплексов гибких насосно-компрессорных труб</w:t>
      </w:r>
      <w:r w:rsidR="00D65ED7">
        <w:t xml:space="preserve"> </w:t>
      </w:r>
      <w:r w:rsidR="00721E14">
        <w:t xml:space="preserve">(далее – </w:t>
      </w:r>
      <w:r w:rsidR="00D65ED7">
        <w:t>ГНКТ</w:t>
      </w:r>
      <w:r w:rsidR="00721E14">
        <w:t xml:space="preserve">) </w:t>
      </w:r>
      <w:r w:rsidRPr="00F01620">
        <w:t>на лицензионных участках О</w:t>
      </w:r>
      <w:r w:rsidR="00DE3B10">
        <w:t>ткрытого Акционерного Общества</w:t>
      </w:r>
      <w:r w:rsidRPr="00F01620">
        <w:t xml:space="preserve"> «Славнефть-Мегионнефтегаз» (Далее ОАО «СН-МНГ») в 20</w:t>
      </w:r>
      <w:r w:rsidR="00D274A7" w:rsidRPr="007E57A5">
        <w:rPr>
          <w:highlight w:val="lightGray"/>
        </w:rPr>
        <w:t>___</w:t>
      </w:r>
      <w:r w:rsidRPr="00F01620">
        <w:t xml:space="preserve"> году.</w:t>
      </w:r>
    </w:p>
    <w:p w:rsidR="00EC0C5A" w:rsidRDefault="00F605D4" w:rsidP="00EC0C5A">
      <w:pPr>
        <w:numPr>
          <w:ilvl w:val="1"/>
          <w:numId w:val="6"/>
        </w:numPr>
        <w:ind w:left="0" w:firstLine="709"/>
        <w:jc w:val="both"/>
      </w:pPr>
      <w:r w:rsidRPr="007E57A5">
        <w:rPr>
          <w:highlight w:val="lightGray"/>
        </w:rPr>
        <w:t xml:space="preserve">Ремонты производятся на </w:t>
      </w:r>
      <w:r w:rsidR="00AA7369" w:rsidRPr="007E57A5">
        <w:rPr>
          <w:highlight w:val="lightGray"/>
        </w:rPr>
        <w:t xml:space="preserve">действующих </w:t>
      </w:r>
      <w:r w:rsidRPr="007E57A5">
        <w:rPr>
          <w:highlight w:val="lightGray"/>
        </w:rPr>
        <w:t>нефтяных скважинах</w:t>
      </w:r>
      <w:r w:rsidR="00AA7369" w:rsidRPr="007E57A5">
        <w:rPr>
          <w:highlight w:val="lightGray"/>
        </w:rPr>
        <w:t>, на вводе новых скважин (ВНС), на скважинах после забурки боковых стволов (ЗБС)</w:t>
      </w:r>
      <w:r w:rsidRPr="007E57A5">
        <w:rPr>
          <w:highlight w:val="lightGray"/>
        </w:rPr>
        <w:t>.</w:t>
      </w:r>
      <w:r w:rsidR="00EC0C5A" w:rsidRPr="007E57A5">
        <w:rPr>
          <w:highlight w:val="lightGray"/>
        </w:rPr>
        <w:t xml:space="preserve"> Со средней глубиной 3500 метров (горизонтальные скважины имеют хвостовики 102мм, 114мм длиной до 1000м).</w:t>
      </w:r>
      <w:r w:rsidR="00EC0C5A">
        <w:t xml:space="preserve"> </w:t>
      </w:r>
    </w:p>
    <w:p w:rsidR="004B20C3" w:rsidRDefault="009C3B04" w:rsidP="00797FA2">
      <w:pPr>
        <w:numPr>
          <w:ilvl w:val="1"/>
          <w:numId w:val="6"/>
        </w:numPr>
        <w:ind w:left="0" w:firstLine="709"/>
        <w:jc w:val="both"/>
      </w:pPr>
      <w:r>
        <w:t>Тендер</w:t>
      </w:r>
      <w:r w:rsidR="004B20C3" w:rsidRPr="00F01620">
        <w:t xml:space="preserve"> проводится с целью определения возможностей каждого потенциального претендента для </w:t>
      </w:r>
      <w:r w:rsidR="003C7285">
        <w:t>выполнения работ</w:t>
      </w:r>
      <w:r w:rsidR="004B20C3" w:rsidRPr="00F01620">
        <w:t>.</w:t>
      </w:r>
    </w:p>
    <w:p w:rsidR="00F605D4" w:rsidRDefault="00F605D4" w:rsidP="00797FA2">
      <w:pPr>
        <w:pStyle w:val="3"/>
        <w:numPr>
          <w:ilvl w:val="0"/>
          <w:numId w:val="6"/>
        </w:numPr>
        <w:ind w:left="0" w:firstLine="709"/>
        <w:jc w:val="both"/>
        <w:rPr>
          <w:rStyle w:val="aa"/>
          <w:b/>
        </w:rPr>
      </w:pPr>
      <w:r w:rsidRPr="000F4AA1">
        <w:rPr>
          <w:rStyle w:val="aa"/>
          <w:b/>
        </w:rPr>
        <w:t xml:space="preserve">Описание объекта </w:t>
      </w:r>
      <w:r w:rsidR="00D64424">
        <w:rPr>
          <w:rStyle w:val="aa"/>
          <w:b/>
        </w:rPr>
        <w:t>выполнения работ</w:t>
      </w:r>
    </w:p>
    <w:p w:rsidR="00F605D4" w:rsidRPr="007E57A5" w:rsidRDefault="00F605D4" w:rsidP="00797FA2">
      <w:pPr>
        <w:numPr>
          <w:ilvl w:val="1"/>
          <w:numId w:val="6"/>
        </w:numPr>
        <w:ind w:left="0" w:firstLine="709"/>
        <w:jc w:val="both"/>
        <w:rPr>
          <w:highlight w:val="lightGray"/>
        </w:rPr>
      </w:pPr>
      <w:r w:rsidRPr="007E57A5">
        <w:rPr>
          <w:highlight w:val="lightGray"/>
        </w:rPr>
        <w:t xml:space="preserve">Месторождения в административном отношении находятся на территории Тюменской </w:t>
      </w:r>
      <w:r w:rsidR="00F7381D" w:rsidRPr="007E57A5">
        <w:rPr>
          <w:highlight w:val="lightGray"/>
        </w:rPr>
        <w:t xml:space="preserve">области </w:t>
      </w:r>
      <w:r w:rsidRPr="007E57A5">
        <w:rPr>
          <w:highlight w:val="lightGray"/>
        </w:rPr>
        <w:t>(Нижневартовский</w:t>
      </w:r>
      <w:r w:rsidR="00F7381D" w:rsidRPr="007E57A5">
        <w:rPr>
          <w:highlight w:val="lightGray"/>
        </w:rPr>
        <w:t xml:space="preserve"> и  Сургутский район)</w:t>
      </w:r>
      <w:r w:rsidR="00DE3B10" w:rsidRPr="007E57A5">
        <w:rPr>
          <w:highlight w:val="lightGray"/>
        </w:rPr>
        <w:t xml:space="preserve"> и Томской области</w:t>
      </w:r>
      <w:r w:rsidRPr="007E57A5">
        <w:rPr>
          <w:highlight w:val="lightGray"/>
        </w:rPr>
        <w:t xml:space="preserve">. </w:t>
      </w:r>
    </w:p>
    <w:p w:rsidR="00EC6B2E" w:rsidRPr="007E57A5" w:rsidRDefault="00EC6B2E" w:rsidP="00EC6B2E">
      <w:pPr>
        <w:ind w:left="709"/>
        <w:jc w:val="both"/>
        <w:rPr>
          <w:highlight w:val="lightGray"/>
        </w:rPr>
      </w:pPr>
    </w:p>
    <w:tbl>
      <w:tblPr>
        <w:tblW w:w="9781" w:type="dxa"/>
        <w:tblInd w:w="108" w:type="dxa"/>
        <w:tblLook w:val="04A0" w:firstRow="1" w:lastRow="0" w:firstColumn="1" w:lastColumn="0" w:noHBand="0" w:noVBand="1"/>
      </w:tblPr>
      <w:tblGrid>
        <w:gridCol w:w="4732"/>
        <w:gridCol w:w="5049"/>
      </w:tblGrid>
      <w:tr w:rsidR="00EC6B2E" w:rsidRPr="002D2B6F" w:rsidTr="00E16954">
        <w:tc>
          <w:tcPr>
            <w:tcW w:w="4732" w:type="dxa"/>
            <w:shd w:val="clear" w:color="auto" w:fill="auto"/>
          </w:tcPr>
          <w:p w:rsidR="00EC6B2E" w:rsidRPr="007E57A5" w:rsidRDefault="00EC6B2E" w:rsidP="00E16954">
            <w:pPr>
              <w:ind w:left="142"/>
              <w:jc w:val="both"/>
              <w:rPr>
                <w:b/>
                <w:highlight w:val="lightGray"/>
              </w:rPr>
            </w:pPr>
            <w:r w:rsidRPr="007E57A5">
              <w:rPr>
                <w:b/>
                <w:highlight w:val="lightGray"/>
              </w:rPr>
              <w:t>Объекты Аганского НГДУ:</w:t>
            </w:r>
          </w:p>
          <w:p w:rsidR="00EC6B2E" w:rsidRPr="007E57A5" w:rsidRDefault="00EC6B2E" w:rsidP="00EC6B2E">
            <w:pPr>
              <w:numPr>
                <w:ilvl w:val="0"/>
                <w:numId w:val="28"/>
              </w:numPr>
              <w:ind w:left="459" w:hanging="425"/>
              <w:jc w:val="both"/>
              <w:rPr>
                <w:highlight w:val="lightGray"/>
              </w:rPr>
            </w:pPr>
            <w:r w:rsidRPr="007E57A5">
              <w:rPr>
                <w:highlight w:val="lightGray"/>
              </w:rPr>
              <w:t>Мегионский ЛУ – 30км</w:t>
            </w:r>
          </w:p>
          <w:p w:rsidR="00EC6B2E" w:rsidRPr="007E57A5" w:rsidRDefault="00EC6B2E" w:rsidP="00EC6B2E">
            <w:pPr>
              <w:numPr>
                <w:ilvl w:val="0"/>
                <w:numId w:val="28"/>
              </w:numPr>
              <w:ind w:left="459" w:hanging="425"/>
              <w:jc w:val="both"/>
              <w:rPr>
                <w:highlight w:val="lightGray"/>
              </w:rPr>
            </w:pPr>
            <w:r w:rsidRPr="007E57A5">
              <w:rPr>
                <w:highlight w:val="lightGray"/>
              </w:rPr>
              <w:t>Аганский ЛУ</w:t>
            </w:r>
            <w:r w:rsidRPr="007E57A5">
              <w:rPr>
                <w:highlight w:val="lightGray"/>
              </w:rPr>
              <w:tab/>
              <w:t>- 50км</w:t>
            </w:r>
          </w:p>
          <w:p w:rsidR="00EC6B2E" w:rsidRPr="007E57A5" w:rsidRDefault="00EC6B2E" w:rsidP="00EC6B2E">
            <w:pPr>
              <w:numPr>
                <w:ilvl w:val="0"/>
                <w:numId w:val="28"/>
              </w:numPr>
              <w:ind w:left="459" w:hanging="425"/>
              <w:jc w:val="both"/>
              <w:rPr>
                <w:highlight w:val="lightGray"/>
              </w:rPr>
            </w:pPr>
            <w:r w:rsidRPr="007E57A5">
              <w:rPr>
                <w:highlight w:val="lightGray"/>
              </w:rPr>
              <w:t>Южно-Аганский ЛУ – 35км</w:t>
            </w:r>
          </w:p>
          <w:p w:rsidR="00EC6B2E" w:rsidRPr="007E57A5" w:rsidRDefault="00EC6B2E" w:rsidP="00EC6B2E">
            <w:pPr>
              <w:numPr>
                <w:ilvl w:val="0"/>
                <w:numId w:val="28"/>
              </w:numPr>
              <w:ind w:left="459" w:hanging="425"/>
              <w:jc w:val="both"/>
              <w:rPr>
                <w:highlight w:val="lightGray"/>
              </w:rPr>
            </w:pPr>
            <w:r w:rsidRPr="007E57A5">
              <w:rPr>
                <w:highlight w:val="lightGray"/>
              </w:rPr>
              <w:t>Ново-Покурский ЛУ- 152км</w:t>
            </w:r>
          </w:p>
          <w:p w:rsidR="00EC6B2E" w:rsidRPr="007E57A5" w:rsidRDefault="00EC6B2E" w:rsidP="00EC6B2E">
            <w:pPr>
              <w:numPr>
                <w:ilvl w:val="0"/>
                <w:numId w:val="28"/>
              </w:numPr>
              <w:ind w:left="459" w:hanging="425"/>
              <w:jc w:val="both"/>
              <w:rPr>
                <w:highlight w:val="lightGray"/>
              </w:rPr>
            </w:pPr>
            <w:r w:rsidRPr="007E57A5">
              <w:rPr>
                <w:highlight w:val="lightGray"/>
              </w:rPr>
              <w:t>Южно-Покамасовский ЛУ – 110км</w:t>
            </w:r>
          </w:p>
          <w:p w:rsidR="00EC6B2E" w:rsidRPr="007E57A5" w:rsidRDefault="00EC6B2E" w:rsidP="00EC6B2E">
            <w:pPr>
              <w:numPr>
                <w:ilvl w:val="0"/>
                <w:numId w:val="28"/>
              </w:numPr>
              <w:ind w:left="459" w:hanging="425"/>
              <w:jc w:val="both"/>
              <w:rPr>
                <w:highlight w:val="lightGray"/>
              </w:rPr>
            </w:pPr>
            <w:r w:rsidRPr="007E57A5">
              <w:rPr>
                <w:highlight w:val="lightGray"/>
              </w:rPr>
              <w:t>Покамасовский ЛУ – 110км</w:t>
            </w:r>
          </w:p>
          <w:p w:rsidR="00EC6B2E" w:rsidRPr="007E57A5" w:rsidRDefault="00EC6B2E" w:rsidP="00EC6B2E">
            <w:pPr>
              <w:numPr>
                <w:ilvl w:val="0"/>
                <w:numId w:val="28"/>
              </w:numPr>
              <w:ind w:left="459" w:hanging="425"/>
              <w:jc w:val="both"/>
              <w:rPr>
                <w:highlight w:val="lightGray"/>
              </w:rPr>
            </w:pPr>
            <w:r w:rsidRPr="007E57A5">
              <w:rPr>
                <w:highlight w:val="lightGray"/>
              </w:rPr>
              <w:t>Северо-Островной ЛУ – 171км</w:t>
            </w:r>
          </w:p>
          <w:p w:rsidR="00EC6B2E" w:rsidRPr="007E57A5" w:rsidRDefault="00EC6B2E" w:rsidP="00EC6B2E">
            <w:pPr>
              <w:numPr>
                <w:ilvl w:val="0"/>
                <w:numId w:val="28"/>
              </w:numPr>
              <w:ind w:left="459" w:hanging="425"/>
              <w:jc w:val="both"/>
              <w:rPr>
                <w:highlight w:val="lightGray"/>
              </w:rPr>
            </w:pPr>
            <w:r w:rsidRPr="007E57A5">
              <w:rPr>
                <w:highlight w:val="lightGray"/>
              </w:rPr>
              <w:t>Южно-Локосовский ЛУ – 194км</w:t>
            </w:r>
          </w:p>
          <w:p w:rsidR="00EC6B2E" w:rsidRPr="007E57A5" w:rsidRDefault="00EC6B2E" w:rsidP="00EC6B2E">
            <w:pPr>
              <w:numPr>
                <w:ilvl w:val="0"/>
                <w:numId w:val="28"/>
              </w:numPr>
              <w:ind w:left="459" w:hanging="425"/>
              <w:jc w:val="both"/>
              <w:rPr>
                <w:highlight w:val="lightGray"/>
              </w:rPr>
            </w:pPr>
            <w:r w:rsidRPr="007E57A5">
              <w:rPr>
                <w:highlight w:val="lightGray"/>
              </w:rPr>
              <w:t>Мыхпайский ЛУ – 27км</w:t>
            </w:r>
          </w:p>
          <w:p w:rsidR="00EC6B2E" w:rsidRPr="007E57A5" w:rsidRDefault="00EC6B2E" w:rsidP="00EC6B2E">
            <w:pPr>
              <w:numPr>
                <w:ilvl w:val="0"/>
                <w:numId w:val="28"/>
              </w:numPr>
              <w:ind w:left="459" w:hanging="425"/>
              <w:jc w:val="both"/>
              <w:rPr>
                <w:highlight w:val="lightGray"/>
              </w:rPr>
            </w:pPr>
            <w:r w:rsidRPr="007E57A5">
              <w:rPr>
                <w:highlight w:val="lightGray"/>
              </w:rPr>
              <w:t>Кетовский ЛУ – 169км</w:t>
            </w:r>
          </w:p>
          <w:p w:rsidR="00EC6B2E" w:rsidRPr="007E57A5" w:rsidRDefault="00EC6B2E" w:rsidP="00EC6B2E">
            <w:pPr>
              <w:numPr>
                <w:ilvl w:val="0"/>
                <w:numId w:val="28"/>
              </w:numPr>
              <w:ind w:left="459" w:hanging="425"/>
              <w:jc w:val="both"/>
              <w:rPr>
                <w:highlight w:val="lightGray"/>
              </w:rPr>
            </w:pPr>
            <w:r w:rsidRPr="007E57A5">
              <w:rPr>
                <w:highlight w:val="lightGray"/>
              </w:rPr>
              <w:t>Южно-Островной ЛУ – 171км</w:t>
            </w:r>
          </w:p>
          <w:p w:rsidR="00EC6B2E" w:rsidRPr="007E57A5" w:rsidRDefault="00EC6B2E" w:rsidP="00EC6B2E">
            <w:pPr>
              <w:numPr>
                <w:ilvl w:val="0"/>
                <w:numId w:val="28"/>
              </w:numPr>
              <w:ind w:left="459" w:hanging="425"/>
              <w:jc w:val="both"/>
              <w:rPr>
                <w:highlight w:val="lightGray"/>
              </w:rPr>
            </w:pPr>
            <w:r w:rsidRPr="007E57A5">
              <w:rPr>
                <w:highlight w:val="lightGray"/>
              </w:rPr>
              <w:t>Западно-Усть-Балыкский Л – 274км</w:t>
            </w:r>
          </w:p>
          <w:p w:rsidR="00EC6B2E" w:rsidRPr="007E57A5" w:rsidRDefault="00EC6B2E" w:rsidP="00EC6B2E">
            <w:pPr>
              <w:numPr>
                <w:ilvl w:val="0"/>
                <w:numId w:val="28"/>
              </w:numPr>
              <w:ind w:left="459" w:hanging="425"/>
              <w:jc w:val="both"/>
              <w:rPr>
                <w:highlight w:val="lightGray"/>
              </w:rPr>
            </w:pPr>
            <w:r w:rsidRPr="007E57A5">
              <w:rPr>
                <w:highlight w:val="lightGray"/>
              </w:rPr>
              <w:t>Ачимовский ЛУ – 282км</w:t>
            </w:r>
          </w:p>
          <w:p w:rsidR="00EC6B2E" w:rsidRPr="007E57A5" w:rsidRDefault="00EC6B2E" w:rsidP="00EC6B2E">
            <w:pPr>
              <w:numPr>
                <w:ilvl w:val="0"/>
                <w:numId w:val="28"/>
              </w:numPr>
              <w:ind w:left="459" w:hanging="425"/>
              <w:jc w:val="both"/>
              <w:rPr>
                <w:highlight w:val="lightGray"/>
              </w:rPr>
            </w:pPr>
            <w:r w:rsidRPr="007E57A5">
              <w:rPr>
                <w:highlight w:val="lightGray"/>
              </w:rPr>
              <w:t>Чистинный ЛУ – 324км</w:t>
            </w:r>
          </w:p>
          <w:p w:rsidR="00EC6B2E" w:rsidRPr="007E57A5" w:rsidRDefault="00EC6B2E" w:rsidP="00EC6B2E">
            <w:pPr>
              <w:numPr>
                <w:ilvl w:val="0"/>
                <w:numId w:val="28"/>
              </w:numPr>
              <w:ind w:left="459" w:hanging="425"/>
              <w:jc w:val="both"/>
              <w:rPr>
                <w:highlight w:val="lightGray"/>
              </w:rPr>
            </w:pPr>
            <w:r w:rsidRPr="007E57A5">
              <w:rPr>
                <w:highlight w:val="lightGray"/>
              </w:rPr>
              <w:t>Западно-Асомкинский ЛУ – 310км</w:t>
            </w:r>
          </w:p>
          <w:p w:rsidR="00EC6B2E" w:rsidRPr="007E57A5" w:rsidRDefault="00EC6B2E" w:rsidP="00EC6B2E">
            <w:pPr>
              <w:numPr>
                <w:ilvl w:val="0"/>
                <w:numId w:val="28"/>
              </w:numPr>
              <w:ind w:left="459" w:hanging="425"/>
              <w:jc w:val="both"/>
              <w:rPr>
                <w:highlight w:val="lightGray"/>
              </w:rPr>
            </w:pPr>
            <w:r w:rsidRPr="007E57A5">
              <w:rPr>
                <w:highlight w:val="lightGray"/>
              </w:rPr>
              <w:t>Северо-Асомкинский ЛУ – 310км</w:t>
            </w:r>
          </w:p>
          <w:p w:rsidR="00EC6B2E" w:rsidRPr="007E57A5" w:rsidRDefault="00EC6B2E" w:rsidP="00E16954">
            <w:pPr>
              <w:ind w:left="142"/>
              <w:jc w:val="both"/>
              <w:rPr>
                <w:b/>
                <w:highlight w:val="lightGray"/>
              </w:rPr>
            </w:pPr>
          </w:p>
        </w:tc>
        <w:tc>
          <w:tcPr>
            <w:tcW w:w="5049" w:type="dxa"/>
            <w:shd w:val="clear" w:color="auto" w:fill="auto"/>
          </w:tcPr>
          <w:p w:rsidR="00EC6B2E" w:rsidRPr="007E57A5" w:rsidRDefault="00EC6B2E" w:rsidP="00E16954">
            <w:pPr>
              <w:ind w:hanging="20"/>
              <w:jc w:val="both"/>
              <w:rPr>
                <w:b/>
                <w:highlight w:val="lightGray"/>
              </w:rPr>
            </w:pPr>
            <w:r w:rsidRPr="007E57A5">
              <w:rPr>
                <w:b/>
                <w:highlight w:val="lightGray"/>
              </w:rPr>
              <w:t>Объекты Ватинского НГДУ:</w:t>
            </w:r>
          </w:p>
          <w:p w:rsidR="00EC6B2E" w:rsidRPr="007E57A5" w:rsidRDefault="00EC6B2E" w:rsidP="00EC6B2E">
            <w:pPr>
              <w:numPr>
                <w:ilvl w:val="0"/>
                <w:numId w:val="29"/>
              </w:numPr>
              <w:ind w:left="0" w:hanging="20"/>
              <w:jc w:val="both"/>
              <w:rPr>
                <w:highlight w:val="lightGray"/>
              </w:rPr>
            </w:pPr>
            <w:r w:rsidRPr="007E57A5">
              <w:rPr>
                <w:highlight w:val="lightGray"/>
              </w:rPr>
              <w:t>Мегионский ЛУ (КП 218-221) – 27км</w:t>
            </w:r>
          </w:p>
          <w:p w:rsidR="00EC6B2E" w:rsidRPr="007E57A5" w:rsidRDefault="00EC6B2E" w:rsidP="00EC6B2E">
            <w:pPr>
              <w:numPr>
                <w:ilvl w:val="0"/>
                <w:numId w:val="29"/>
              </w:numPr>
              <w:ind w:left="0" w:hanging="20"/>
              <w:jc w:val="both"/>
              <w:rPr>
                <w:highlight w:val="lightGray"/>
              </w:rPr>
            </w:pPr>
            <w:r w:rsidRPr="007E57A5">
              <w:rPr>
                <w:highlight w:val="lightGray"/>
              </w:rPr>
              <w:t>Ватинский ЛУ – 20км</w:t>
            </w:r>
          </w:p>
          <w:p w:rsidR="00EC6B2E" w:rsidRPr="007E57A5" w:rsidRDefault="00EC6B2E" w:rsidP="00EC6B2E">
            <w:pPr>
              <w:numPr>
                <w:ilvl w:val="0"/>
                <w:numId w:val="29"/>
              </w:numPr>
              <w:ind w:left="0" w:hanging="20"/>
              <w:jc w:val="both"/>
              <w:rPr>
                <w:highlight w:val="lightGray"/>
              </w:rPr>
            </w:pPr>
            <w:r w:rsidRPr="007E57A5">
              <w:rPr>
                <w:highlight w:val="lightGray"/>
              </w:rPr>
              <w:t>Северо-Покурский ЛУ – 29км</w:t>
            </w:r>
          </w:p>
          <w:p w:rsidR="00EC6B2E" w:rsidRPr="007E57A5" w:rsidRDefault="00EC6B2E" w:rsidP="00EC6B2E">
            <w:pPr>
              <w:numPr>
                <w:ilvl w:val="0"/>
                <w:numId w:val="29"/>
              </w:numPr>
              <w:ind w:left="0" w:hanging="20"/>
              <w:jc w:val="both"/>
              <w:rPr>
                <w:highlight w:val="lightGray"/>
              </w:rPr>
            </w:pPr>
            <w:r w:rsidRPr="007E57A5">
              <w:rPr>
                <w:highlight w:val="lightGray"/>
              </w:rPr>
              <w:t>Луговой ЛУ – 50км</w:t>
            </w:r>
          </w:p>
          <w:p w:rsidR="00EC6B2E" w:rsidRPr="007E57A5" w:rsidRDefault="00EC6B2E" w:rsidP="00EC6B2E">
            <w:pPr>
              <w:numPr>
                <w:ilvl w:val="0"/>
                <w:numId w:val="29"/>
              </w:numPr>
              <w:ind w:left="0" w:hanging="20"/>
              <w:jc w:val="both"/>
              <w:rPr>
                <w:highlight w:val="lightGray"/>
              </w:rPr>
            </w:pPr>
            <w:r w:rsidRPr="007E57A5">
              <w:rPr>
                <w:highlight w:val="lightGray"/>
              </w:rPr>
              <w:t>Мыхпайский ЛУ (КП 54-55) – 27км</w:t>
            </w:r>
          </w:p>
          <w:p w:rsidR="00EC6B2E" w:rsidRPr="007E57A5" w:rsidRDefault="00EC6B2E" w:rsidP="00EC6B2E">
            <w:pPr>
              <w:numPr>
                <w:ilvl w:val="0"/>
                <w:numId w:val="29"/>
              </w:numPr>
              <w:ind w:left="0" w:hanging="20"/>
              <w:jc w:val="both"/>
              <w:rPr>
                <w:highlight w:val="lightGray"/>
              </w:rPr>
            </w:pPr>
            <w:r w:rsidRPr="007E57A5">
              <w:rPr>
                <w:highlight w:val="lightGray"/>
              </w:rPr>
              <w:t>Северо-Ореховский ЛУ – 42км</w:t>
            </w:r>
          </w:p>
          <w:p w:rsidR="00EC6B2E" w:rsidRPr="007E57A5" w:rsidRDefault="00EC6B2E" w:rsidP="00EC6B2E">
            <w:pPr>
              <w:numPr>
                <w:ilvl w:val="0"/>
                <w:numId w:val="29"/>
              </w:numPr>
              <w:ind w:left="0" w:hanging="20"/>
              <w:jc w:val="both"/>
              <w:rPr>
                <w:highlight w:val="lightGray"/>
              </w:rPr>
            </w:pPr>
            <w:r w:rsidRPr="007E57A5">
              <w:rPr>
                <w:highlight w:val="lightGray"/>
              </w:rPr>
              <w:t>Аригольский ЛУ – 201км</w:t>
            </w:r>
          </w:p>
          <w:p w:rsidR="00EC6B2E" w:rsidRPr="007E57A5" w:rsidRDefault="00EC6B2E" w:rsidP="00EC6B2E">
            <w:pPr>
              <w:numPr>
                <w:ilvl w:val="0"/>
                <w:numId w:val="29"/>
              </w:numPr>
              <w:ind w:left="0" w:hanging="20"/>
              <w:jc w:val="both"/>
              <w:rPr>
                <w:highlight w:val="lightGray"/>
              </w:rPr>
            </w:pPr>
            <w:r w:rsidRPr="007E57A5">
              <w:rPr>
                <w:highlight w:val="lightGray"/>
              </w:rPr>
              <w:t>Узунский ЛУ</w:t>
            </w:r>
            <w:r w:rsidRPr="007E57A5">
              <w:rPr>
                <w:highlight w:val="lightGray"/>
              </w:rPr>
              <w:tab/>
              <w:t xml:space="preserve"> - 123км</w:t>
            </w:r>
          </w:p>
          <w:p w:rsidR="00EC6B2E" w:rsidRPr="007E57A5" w:rsidRDefault="00EC6B2E" w:rsidP="00EC6B2E">
            <w:pPr>
              <w:numPr>
                <w:ilvl w:val="0"/>
                <w:numId w:val="29"/>
              </w:numPr>
              <w:ind w:left="0" w:hanging="20"/>
              <w:jc w:val="both"/>
              <w:rPr>
                <w:highlight w:val="lightGray"/>
              </w:rPr>
            </w:pPr>
            <w:r w:rsidRPr="007E57A5">
              <w:rPr>
                <w:highlight w:val="lightGray"/>
              </w:rPr>
              <w:t>Максимкинский ЛУ</w:t>
            </w:r>
            <w:r w:rsidRPr="007E57A5">
              <w:rPr>
                <w:highlight w:val="lightGray"/>
              </w:rPr>
              <w:tab/>
              <w:t xml:space="preserve"> - 201км</w:t>
            </w:r>
          </w:p>
          <w:p w:rsidR="00EC6B2E" w:rsidRPr="007E57A5" w:rsidRDefault="00EC6B2E" w:rsidP="00EC6B2E">
            <w:pPr>
              <w:numPr>
                <w:ilvl w:val="0"/>
                <w:numId w:val="29"/>
              </w:numPr>
              <w:ind w:left="0" w:hanging="20"/>
              <w:jc w:val="both"/>
              <w:rPr>
                <w:highlight w:val="lightGray"/>
              </w:rPr>
            </w:pPr>
            <w:r w:rsidRPr="007E57A5">
              <w:rPr>
                <w:highlight w:val="lightGray"/>
              </w:rPr>
              <w:t>Кысомский ЛУ – 109км</w:t>
            </w:r>
          </w:p>
          <w:p w:rsidR="00EC6B2E" w:rsidRPr="007E57A5" w:rsidRDefault="00EC6B2E" w:rsidP="00EC6B2E">
            <w:pPr>
              <w:numPr>
                <w:ilvl w:val="0"/>
                <w:numId w:val="29"/>
              </w:numPr>
              <w:ind w:left="0" w:hanging="20"/>
              <w:jc w:val="both"/>
              <w:rPr>
                <w:highlight w:val="lightGray"/>
              </w:rPr>
            </w:pPr>
            <w:r w:rsidRPr="007E57A5">
              <w:rPr>
                <w:highlight w:val="lightGray"/>
              </w:rPr>
              <w:t>Западно-Аригольский ЛУ – 201км</w:t>
            </w:r>
          </w:p>
          <w:p w:rsidR="00EC6B2E" w:rsidRPr="007E57A5" w:rsidRDefault="00EC6B2E" w:rsidP="00EC6B2E">
            <w:pPr>
              <w:numPr>
                <w:ilvl w:val="0"/>
                <w:numId w:val="29"/>
              </w:numPr>
              <w:ind w:left="0" w:hanging="20"/>
              <w:jc w:val="both"/>
              <w:rPr>
                <w:highlight w:val="lightGray"/>
              </w:rPr>
            </w:pPr>
            <w:r w:rsidRPr="007E57A5">
              <w:rPr>
                <w:highlight w:val="lightGray"/>
              </w:rPr>
              <w:t>Тайлаковский ЛУ  - 452км</w:t>
            </w:r>
          </w:p>
          <w:p w:rsidR="00EC6B2E" w:rsidRPr="002D2B6F" w:rsidRDefault="00EC6B2E" w:rsidP="00E16954">
            <w:pPr>
              <w:jc w:val="both"/>
            </w:pPr>
          </w:p>
          <w:p w:rsidR="00EC6B2E" w:rsidRPr="00976B53" w:rsidRDefault="00EC6B2E" w:rsidP="00E16954">
            <w:pPr>
              <w:ind w:left="142"/>
              <w:jc w:val="both"/>
              <w:rPr>
                <w:b/>
              </w:rPr>
            </w:pPr>
          </w:p>
        </w:tc>
      </w:tr>
    </w:tbl>
    <w:p w:rsidR="00EC6B2E" w:rsidRPr="009A5CF5" w:rsidRDefault="00EC6B2E" w:rsidP="00EC6B2E">
      <w:pPr>
        <w:jc w:val="both"/>
      </w:pPr>
    </w:p>
    <w:p w:rsidR="00EC6B2E" w:rsidRDefault="00EC6B2E" w:rsidP="00EC6B2E">
      <w:pPr>
        <w:ind w:firstLine="709"/>
        <w:jc w:val="both"/>
      </w:pPr>
      <w:r w:rsidRPr="009A5CF5">
        <w:t xml:space="preserve">Доступность части региона ограничена в период ледостава </w:t>
      </w:r>
      <w:r w:rsidRPr="007E57A5">
        <w:rPr>
          <w:highlight w:val="lightGray"/>
        </w:rPr>
        <w:t>(5-10 дней) и ледохода (2-4 дня).</w:t>
      </w:r>
      <w:r w:rsidRPr="009A5CF5">
        <w:t xml:space="preserve"> В летнее время – паромная</w:t>
      </w:r>
      <w:r>
        <w:t xml:space="preserve"> переправа, в зимнее время – понтонные мосты. </w:t>
      </w:r>
    </w:p>
    <w:p w:rsidR="00CF41D9" w:rsidRPr="009A5CF5" w:rsidRDefault="00EC6B2E" w:rsidP="00CF41D9">
      <w:pPr>
        <w:ind w:left="709"/>
        <w:jc w:val="both"/>
      </w:pPr>
      <w:r>
        <w:t xml:space="preserve">Диапазон глубин скважин составляет от </w:t>
      </w:r>
      <w:r w:rsidRPr="007E57A5">
        <w:rPr>
          <w:highlight w:val="lightGray"/>
        </w:rPr>
        <w:t>2500 до 3800 м.</w:t>
      </w:r>
    </w:p>
    <w:p w:rsidR="00CF41D9" w:rsidRPr="00CF41D9" w:rsidRDefault="00802BA9" w:rsidP="00CF41D9">
      <w:pPr>
        <w:pStyle w:val="3"/>
        <w:numPr>
          <w:ilvl w:val="0"/>
          <w:numId w:val="6"/>
        </w:numPr>
        <w:ind w:left="0" w:firstLine="709"/>
        <w:jc w:val="both"/>
        <w:rPr>
          <w:bCs w:val="0"/>
        </w:rPr>
      </w:pPr>
      <w:r w:rsidRPr="000F4AA1">
        <w:rPr>
          <w:rStyle w:val="aa"/>
          <w:b/>
        </w:rPr>
        <w:lastRenderedPageBreak/>
        <w:t>Вид работ, объ</w:t>
      </w:r>
      <w:r w:rsidR="00A9172D">
        <w:rPr>
          <w:rStyle w:val="aa"/>
          <w:b/>
        </w:rPr>
        <w:t>ё</w:t>
      </w:r>
      <w:r w:rsidRPr="000F4AA1">
        <w:rPr>
          <w:rStyle w:val="aa"/>
          <w:b/>
        </w:rPr>
        <w:t>мы работ.</w:t>
      </w:r>
    </w:p>
    <w:p w:rsidR="004C7C9C" w:rsidRPr="007E57A5" w:rsidRDefault="006D551B" w:rsidP="00356EB2">
      <w:pPr>
        <w:numPr>
          <w:ilvl w:val="1"/>
          <w:numId w:val="6"/>
        </w:numPr>
        <w:ind w:left="0" w:firstLine="709"/>
        <w:jc w:val="both"/>
        <w:rPr>
          <w:rFonts w:eastAsia="Calibri"/>
          <w:bCs/>
          <w:highlight w:val="lightGray"/>
          <w:lang w:eastAsia="en-US"/>
        </w:rPr>
      </w:pPr>
      <w:r w:rsidRPr="007E57A5">
        <w:rPr>
          <w:rFonts w:eastAsia="Calibri"/>
          <w:bCs/>
          <w:highlight w:val="lightGray"/>
          <w:lang w:eastAsia="en-US"/>
        </w:rPr>
        <w:t>В 20</w:t>
      </w:r>
      <w:r w:rsidR="00952993" w:rsidRPr="007E57A5">
        <w:rPr>
          <w:rFonts w:eastAsia="Calibri"/>
          <w:bCs/>
          <w:highlight w:val="lightGray"/>
          <w:lang w:eastAsia="en-US"/>
        </w:rPr>
        <w:t>__</w:t>
      </w:r>
      <w:r w:rsidRPr="007E57A5">
        <w:rPr>
          <w:rFonts w:eastAsia="Calibri"/>
          <w:bCs/>
          <w:highlight w:val="lightGray"/>
          <w:lang w:eastAsia="en-US"/>
        </w:rPr>
        <w:t xml:space="preserve"> году п</w:t>
      </w:r>
      <w:r w:rsidR="00464329" w:rsidRPr="007E57A5">
        <w:rPr>
          <w:rFonts w:eastAsia="Calibri"/>
          <w:bCs/>
          <w:highlight w:val="lightGray"/>
          <w:lang w:eastAsia="en-US"/>
        </w:rPr>
        <w:t>ланируется выполнение</w:t>
      </w:r>
      <w:r w:rsidR="004C7C9C" w:rsidRPr="007E57A5">
        <w:rPr>
          <w:rFonts w:eastAsia="Calibri"/>
          <w:bCs/>
          <w:highlight w:val="lightGray"/>
          <w:lang w:eastAsia="en-US"/>
        </w:rPr>
        <w:t>:</w:t>
      </w:r>
      <w:r w:rsidR="00464329" w:rsidRPr="007E57A5">
        <w:rPr>
          <w:rFonts w:eastAsia="Calibri"/>
          <w:bCs/>
          <w:highlight w:val="lightGray"/>
          <w:lang w:eastAsia="en-US"/>
        </w:rPr>
        <w:t xml:space="preserve"> </w:t>
      </w:r>
    </w:p>
    <w:p w:rsidR="004C7C9C" w:rsidRDefault="004C7C9C" w:rsidP="004C7C9C">
      <w:pPr>
        <w:ind w:left="709"/>
        <w:jc w:val="both"/>
        <w:rPr>
          <w:rFonts w:eastAsia="Calibri"/>
          <w:bCs/>
          <w:lang w:eastAsia="en-US"/>
        </w:rPr>
      </w:pPr>
      <w:r>
        <w:rPr>
          <w:rFonts w:eastAsia="Calibri"/>
          <w:bCs/>
          <w:lang w:eastAsia="en-US"/>
        </w:rPr>
        <w:t xml:space="preserve">- </w:t>
      </w:r>
      <w:r w:rsidR="00CB606F" w:rsidRPr="007E57A5">
        <w:rPr>
          <w:rFonts w:eastAsia="Calibri"/>
          <w:bCs/>
          <w:highlight w:val="lightGray"/>
          <w:lang w:eastAsia="en-US"/>
        </w:rPr>
        <w:t>разбуривани</w:t>
      </w:r>
      <w:r w:rsidRPr="007E57A5">
        <w:rPr>
          <w:rFonts w:eastAsia="Calibri"/>
          <w:bCs/>
          <w:highlight w:val="lightGray"/>
          <w:lang w:eastAsia="en-US"/>
        </w:rPr>
        <w:t>е</w:t>
      </w:r>
      <w:r w:rsidR="00CB606F" w:rsidRPr="007E57A5">
        <w:rPr>
          <w:rFonts w:eastAsia="Calibri"/>
          <w:bCs/>
          <w:highlight w:val="lightGray"/>
          <w:lang w:eastAsia="en-US"/>
        </w:rPr>
        <w:t xml:space="preserve"> </w:t>
      </w:r>
      <w:r w:rsidR="00485816" w:rsidRPr="007E57A5">
        <w:rPr>
          <w:rFonts w:eastAsia="Calibri"/>
          <w:bCs/>
          <w:highlight w:val="lightGray"/>
          <w:lang w:eastAsia="en-US"/>
        </w:rPr>
        <w:t>портов компоновок</w:t>
      </w:r>
      <w:r w:rsidR="009541B5" w:rsidRPr="007E57A5">
        <w:rPr>
          <w:rFonts w:eastAsia="Calibri"/>
          <w:bCs/>
          <w:highlight w:val="lightGray"/>
          <w:lang w:eastAsia="en-US"/>
        </w:rPr>
        <w:t xml:space="preserve"> МГРП</w:t>
      </w:r>
      <w:r>
        <w:rPr>
          <w:rFonts w:eastAsia="Calibri"/>
          <w:bCs/>
          <w:lang w:eastAsia="en-US"/>
        </w:rPr>
        <w:t xml:space="preserve"> в количестве - </w:t>
      </w:r>
      <w:r w:rsidR="00D274A7" w:rsidRPr="007E57A5">
        <w:rPr>
          <w:rFonts w:eastAsia="Calibri"/>
          <w:b/>
          <w:bCs/>
          <w:color w:val="FF0000"/>
          <w:highlight w:val="lightGray"/>
          <w:lang w:eastAsia="en-US"/>
        </w:rPr>
        <w:t>___</w:t>
      </w:r>
      <w:r w:rsidRPr="00356EB2">
        <w:rPr>
          <w:rFonts w:eastAsia="Calibri"/>
          <w:bCs/>
          <w:lang w:eastAsia="en-US"/>
        </w:rPr>
        <w:t xml:space="preserve"> скважино-операций</w:t>
      </w:r>
      <w:r>
        <w:rPr>
          <w:rFonts w:eastAsia="Calibri"/>
          <w:bCs/>
          <w:lang w:eastAsia="en-US"/>
        </w:rPr>
        <w:t>;</w:t>
      </w:r>
    </w:p>
    <w:p w:rsidR="002276CE" w:rsidRDefault="004C7C9C" w:rsidP="004C7C9C">
      <w:pPr>
        <w:ind w:left="709"/>
        <w:jc w:val="both"/>
        <w:rPr>
          <w:rFonts w:eastAsia="Calibri"/>
          <w:bCs/>
          <w:lang w:eastAsia="en-US"/>
        </w:rPr>
      </w:pPr>
      <w:r>
        <w:rPr>
          <w:rFonts w:eastAsia="Calibri"/>
          <w:bCs/>
          <w:lang w:eastAsia="en-US"/>
        </w:rPr>
        <w:t xml:space="preserve">- </w:t>
      </w:r>
      <w:r w:rsidRPr="007E57A5">
        <w:rPr>
          <w:rFonts w:eastAsia="Calibri"/>
          <w:bCs/>
          <w:highlight w:val="lightGray"/>
          <w:lang w:eastAsia="en-US"/>
        </w:rPr>
        <w:t>промывка и освоение скважин</w:t>
      </w:r>
      <w:r w:rsidRPr="006D551B">
        <w:rPr>
          <w:rFonts w:eastAsia="Calibri"/>
          <w:b/>
          <w:bCs/>
          <w:color w:val="FF0000"/>
          <w:lang w:eastAsia="en-US"/>
        </w:rPr>
        <w:t xml:space="preserve"> </w:t>
      </w:r>
      <w:r w:rsidR="00D274A7" w:rsidRPr="007E57A5">
        <w:rPr>
          <w:rFonts w:eastAsia="Calibri"/>
          <w:b/>
          <w:bCs/>
          <w:color w:val="FF0000"/>
          <w:highlight w:val="lightGray"/>
          <w:lang w:eastAsia="en-US"/>
        </w:rPr>
        <w:t>___</w:t>
      </w:r>
      <w:r w:rsidR="006D551B">
        <w:rPr>
          <w:rFonts w:eastAsia="Calibri"/>
          <w:bCs/>
          <w:lang w:eastAsia="en-US"/>
        </w:rPr>
        <w:t xml:space="preserve"> </w:t>
      </w:r>
      <w:r w:rsidR="006D551B" w:rsidRPr="00356EB2">
        <w:rPr>
          <w:rFonts w:eastAsia="Calibri"/>
          <w:bCs/>
          <w:lang w:eastAsia="en-US"/>
        </w:rPr>
        <w:t>скважино-операци</w:t>
      </w:r>
      <w:r w:rsidR="00460660">
        <w:rPr>
          <w:rFonts w:eastAsia="Calibri"/>
          <w:bCs/>
          <w:lang w:eastAsia="en-US"/>
        </w:rPr>
        <w:t>и</w:t>
      </w:r>
      <w:r w:rsidR="00D65ED7" w:rsidRPr="00356EB2">
        <w:rPr>
          <w:rFonts w:eastAsia="Calibri"/>
          <w:bCs/>
          <w:lang w:eastAsia="en-US"/>
        </w:rPr>
        <w:t>.</w:t>
      </w:r>
    </w:p>
    <w:p w:rsidR="00802BA9" w:rsidRPr="007E57A5" w:rsidRDefault="00802BA9" w:rsidP="00356EB2">
      <w:pPr>
        <w:numPr>
          <w:ilvl w:val="1"/>
          <w:numId w:val="6"/>
        </w:numPr>
        <w:ind w:left="0" w:firstLine="709"/>
        <w:jc w:val="both"/>
        <w:rPr>
          <w:rFonts w:eastAsia="Calibri"/>
          <w:bCs/>
          <w:highlight w:val="lightGray"/>
          <w:lang w:eastAsia="en-US"/>
        </w:rPr>
      </w:pPr>
      <w:r w:rsidRPr="007E57A5">
        <w:rPr>
          <w:rFonts w:eastAsia="Calibri"/>
          <w:bCs/>
          <w:highlight w:val="lightGray"/>
          <w:lang w:eastAsia="en-US"/>
        </w:rPr>
        <w:t xml:space="preserve">Средняя продолжительность </w:t>
      </w:r>
      <w:r w:rsidR="002D5E21" w:rsidRPr="007E57A5">
        <w:rPr>
          <w:rFonts w:eastAsia="Calibri"/>
          <w:bCs/>
          <w:highlight w:val="lightGray"/>
          <w:lang w:eastAsia="en-US"/>
        </w:rPr>
        <w:t xml:space="preserve">1 </w:t>
      </w:r>
      <w:r w:rsidR="00D65ED7" w:rsidRPr="007E57A5">
        <w:rPr>
          <w:rFonts w:eastAsia="Calibri"/>
          <w:bCs/>
          <w:highlight w:val="lightGray"/>
          <w:lang w:eastAsia="en-US"/>
        </w:rPr>
        <w:t>скважино-операции</w:t>
      </w:r>
      <w:r w:rsidR="00D443AC" w:rsidRPr="007E57A5">
        <w:rPr>
          <w:rFonts w:eastAsia="Calibri"/>
          <w:bCs/>
          <w:highlight w:val="lightGray"/>
          <w:lang w:eastAsia="en-US"/>
        </w:rPr>
        <w:t xml:space="preserve"> по разбуриванию портов компоновок МГРП</w:t>
      </w:r>
      <w:r w:rsidR="00D65ED7" w:rsidRPr="007E57A5">
        <w:rPr>
          <w:rFonts w:eastAsia="Calibri"/>
          <w:bCs/>
          <w:highlight w:val="lightGray"/>
          <w:lang w:eastAsia="en-US"/>
        </w:rPr>
        <w:t xml:space="preserve"> </w:t>
      </w:r>
      <w:r w:rsidR="00720D20" w:rsidRPr="007E57A5">
        <w:rPr>
          <w:rFonts w:eastAsia="Calibri"/>
          <w:bCs/>
          <w:highlight w:val="lightGray"/>
          <w:lang w:eastAsia="en-US"/>
        </w:rPr>
        <w:t xml:space="preserve">– </w:t>
      </w:r>
      <w:r w:rsidR="00D274A7" w:rsidRPr="007E57A5">
        <w:rPr>
          <w:rFonts w:eastAsia="Calibri"/>
          <w:b/>
          <w:bCs/>
          <w:color w:val="FF0000"/>
          <w:highlight w:val="lightGray"/>
          <w:lang w:eastAsia="en-US"/>
        </w:rPr>
        <w:t>____</w:t>
      </w:r>
      <w:r w:rsidR="00720D20" w:rsidRPr="007E57A5">
        <w:rPr>
          <w:rFonts w:eastAsia="Calibri"/>
          <w:bCs/>
          <w:highlight w:val="lightGray"/>
          <w:lang w:eastAsia="en-US"/>
        </w:rPr>
        <w:t xml:space="preserve"> час</w:t>
      </w:r>
      <w:r w:rsidR="00D65ED7" w:rsidRPr="007E57A5">
        <w:rPr>
          <w:rFonts w:eastAsia="Calibri"/>
          <w:bCs/>
          <w:highlight w:val="lightGray"/>
          <w:lang w:eastAsia="en-US"/>
        </w:rPr>
        <w:t>ов с момента начала спуска гибкой трубы в скважину</w:t>
      </w:r>
      <w:r w:rsidR="006462EF" w:rsidRPr="007E57A5">
        <w:rPr>
          <w:rFonts w:eastAsia="Calibri"/>
          <w:bCs/>
          <w:highlight w:val="lightGray"/>
          <w:lang w:eastAsia="en-US"/>
        </w:rPr>
        <w:t xml:space="preserve"> и до закрытия центральной задвижки</w:t>
      </w:r>
      <w:r w:rsidR="00D443AC" w:rsidRPr="007E57A5">
        <w:rPr>
          <w:rFonts w:eastAsia="Calibri"/>
          <w:bCs/>
          <w:highlight w:val="lightGray"/>
          <w:lang w:eastAsia="en-US"/>
        </w:rPr>
        <w:t xml:space="preserve">, по промывке и освоению </w:t>
      </w:r>
      <w:r w:rsidR="00D274A7" w:rsidRPr="007E57A5">
        <w:rPr>
          <w:rFonts w:eastAsia="Calibri"/>
          <w:b/>
          <w:bCs/>
          <w:color w:val="FF0000"/>
          <w:highlight w:val="lightGray"/>
          <w:lang w:eastAsia="en-US"/>
        </w:rPr>
        <w:t>_____</w:t>
      </w:r>
      <w:r w:rsidR="00D443AC" w:rsidRPr="007E57A5">
        <w:rPr>
          <w:rFonts w:eastAsia="Calibri"/>
          <w:bCs/>
          <w:highlight w:val="lightGray"/>
          <w:lang w:eastAsia="en-US"/>
        </w:rPr>
        <w:t xml:space="preserve"> часов</w:t>
      </w:r>
      <w:r w:rsidR="00D65ED7" w:rsidRPr="007E57A5">
        <w:rPr>
          <w:rFonts w:eastAsia="Calibri"/>
          <w:bCs/>
          <w:highlight w:val="lightGray"/>
          <w:lang w:eastAsia="en-US"/>
        </w:rPr>
        <w:t>.</w:t>
      </w:r>
    </w:p>
    <w:p w:rsidR="00D65ED7" w:rsidRPr="007E57A5" w:rsidRDefault="00D65ED7" w:rsidP="00356EB2">
      <w:pPr>
        <w:numPr>
          <w:ilvl w:val="1"/>
          <w:numId w:val="6"/>
        </w:numPr>
        <w:ind w:left="0" w:firstLine="709"/>
        <w:jc w:val="both"/>
        <w:rPr>
          <w:rFonts w:eastAsia="Calibri"/>
          <w:bCs/>
          <w:highlight w:val="lightGray"/>
          <w:lang w:eastAsia="en-US"/>
        </w:rPr>
      </w:pPr>
      <w:r w:rsidRPr="007E57A5">
        <w:rPr>
          <w:rFonts w:eastAsia="Calibri"/>
          <w:bCs/>
          <w:highlight w:val="lightGray"/>
          <w:lang w:eastAsia="en-US"/>
        </w:rPr>
        <w:t>Количество флотов</w:t>
      </w:r>
      <w:r w:rsidR="001F05C7" w:rsidRPr="007E57A5">
        <w:rPr>
          <w:rFonts w:eastAsia="Calibri"/>
          <w:bCs/>
          <w:highlight w:val="lightGray"/>
          <w:lang w:eastAsia="en-US"/>
        </w:rPr>
        <w:t xml:space="preserve"> ГНКТ</w:t>
      </w:r>
      <w:r w:rsidRPr="007E57A5">
        <w:rPr>
          <w:rFonts w:eastAsia="Calibri"/>
          <w:bCs/>
          <w:highlight w:val="lightGray"/>
          <w:lang w:eastAsia="en-US"/>
        </w:rPr>
        <w:t>, необходимое для выполнения программы –</w:t>
      </w:r>
      <w:r w:rsidR="002D1757" w:rsidRPr="007E57A5">
        <w:rPr>
          <w:rFonts w:eastAsia="Calibri"/>
          <w:bCs/>
          <w:highlight w:val="lightGray"/>
          <w:lang w:eastAsia="en-US"/>
        </w:rPr>
        <w:t xml:space="preserve"> </w:t>
      </w:r>
      <w:r w:rsidR="00D274A7" w:rsidRPr="007E57A5">
        <w:rPr>
          <w:rFonts w:eastAsia="Calibri"/>
          <w:b/>
          <w:bCs/>
          <w:color w:val="FF0000"/>
          <w:highlight w:val="lightGray"/>
          <w:lang w:eastAsia="en-US"/>
        </w:rPr>
        <w:t>___</w:t>
      </w:r>
      <w:r w:rsidRPr="007E57A5">
        <w:rPr>
          <w:rFonts w:eastAsia="Calibri"/>
          <w:bCs/>
          <w:highlight w:val="lightGray"/>
          <w:lang w:eastAsia="en-US"/>
        </w:rPr>
        <w:t xml:space="preserve"> (</w:t>
      </w:r>
      <w:r w:rsidR="00D274A7" w:rsidRPr="007E57A5">
        <w:rPr>
          <w:rFonts w:eastAsia="Calibri"/>
          <w:bCs/>
          <w:highlight w:val="lightGray"/>
          <w:lang w:eastAsia="en-US"/>
        </w:rPr>
        <w:t>_____</w:t>
      </w:r>
      <w:r w:rsidR="002D1757" w:rsidRPr="007E57A5">
        <w:rPr>
          <w:rFonts w:eastAsia="Calibri"/>
          <w:bCs/>
          <w:highlight w:val="lightGray"/>
          <w:lang w:eastAsia="en-US"/>
        </w:rPr>
        <w:t>)</w:t>
      </w:r>
      <w:r w:rsidR="00937545" w:rsidRPr="007E57A5">
        <w:rPr>
          <w:rFonts w:eastAsia="Calibri"/>
          <w:bCs/>
          <w:highlight w:val="lightGray"/>
          <w:lang w:eastAsia="en-US"/>
        </w:rPr>
        <w:t xml:space="preserve"> флот ГНКТ </w:t>
      </w:r>
      <w:r w:rsidR="001F05C7" w:rsidRPr="007E57A5">
        <w:rPr>
          <w:rFonts w:eastAsia="Calibri"/>
          <w:bCs/>
          <w:highlight w:val="lightGray"/>
          <w:lang w:eastAsia="en-US"/>
        </w:rPr>
        <w:t>+</w:t>
      </w:r>
      <w:r w:rsidR="00937545" w:rsidRPr="007E57A5">
        <w:rPr>
          <w:rFonts w:eastAsia="Calibri"/>
          <w:bCs/>
          <w:highlight w:val="lightGray"/>
          <w:lang w:eastAsia="en-US"/>
        </w:rPr>
        <w:t xml:space="preserve"> </w:t>
      </w:r>
      <w:r w:rsidR="00D274A7" w:rsidRPr="007E57A5">
        <w:rPr>
          <w:rFonts w:eastAsia="Calibri"/>
          <w:b/>
          <w:bCs/>
          <w:color w:val="FF0000"/>
          <w:highlight w:val="lightGray"/>
          <w:lang w:eastAsia="en-US"/>
        </w:rPr>
        <w:t>___</w:t>
      </w:r>
      <w:r w:rsidR="00F95072" w:rsidRPr="007E57A5">
        <w:rPr>
          <w:rFonts w:eastAsia="Calibri"/>
          <w:b/>
          <w:bCs/>
          <w:color w:val="FF0000"/>
          <w:highlight w:val="lightGray"/>
          <w:lang w:eastAsia="en-US"/>
        </w:rPr>
        <w:t xml:space="preserve"> (</w:t>
      </w:r>
      <w:r w:rsidR="00D274A7" w:rsidRPr="007E57A5">
        <w:rPr>
          <w:rFonts w:eastAsia="Calibri"/>
          <w:b/>
          <w:bCs/>
          <w:color w:val="FF0000"/>
          <w:highlight w:val="lightGray"/>
          <w:lang w:eastAsia="en-US"/>
        </w:rPr>
        <w:t>___</w:t>
      </w:r>
      <w:r w:rsidR="00F95072" w:rsidRPr="007E57A5">
        <w:rPr>
          <w:rFonts w:eastAsia="Calibri"/>
          <w:b/>
          <w:bCs/>
          <w:color w:val="FF0000"/>
          <w:highlight w:val="lightGray"/>
          <w:lang w:eastAsia="en-US"/>
        </w:rPr>
        <w:t>)</w:t>
      </w:r>
      <w:r w:rsidR="001F05C7" w:rsidRPr="007E57A5">
        <w:rPr>
          <w:rFonts w:eastAsia="Calibri"/>
          <w:b/>
          <w:bCs/>
          <w:color w:val="FF0000"/>
          <w:highlight w:val="lightGray"/>
          <w:lang w:eastAsia="en-US"/>
        </w:rPr>
        <w:t xml:space="preserve"> </w:t>
      </w:r>
      <w:r w:rsidR="002D1757" w:rsidRPr="007E57A5">
        <w:rPr>
          <w:rFonts w:eastAsia="Calibri"/>
          <w:bCs/>
          <w:highlight w:val="lightGray"/>
          <w:lang w:eastAsia="en-US"/>
        </w:rPr>
        <w:t>флот ГНКТ</w:t>
      </w:r>
      <w:r w:rsidR="001F05C7" w:rsidRPr="007E57A5">
        <w:rPr>
          <w:rFonts w:eastAsia="Calibri"/>
          <w:bCs/>
          <w:highlight w:val="lightGray"/>
          <w:lang w:eastAsia="en-US"/>
        </w:rPr>
        <w:t xml:space="preserve"> </w:t>
      </w:r>
      <w:r w:rsidR="001F05C7" w:rsidRPr="007E57A5">
        <w:rPr>
          <w:rFonts w:eastAsia="Calibri"/>
          <w:b/>
          <w:bCs/>
          <w:color w:val="FF0000"/>
          <w:highlight w:val="lightGray"/>
          <w:lang w:eastAsia="en-US"/>
        </w:rPr>
        <w:t>(дополнительно</w:t>
      </w:r>
      <w:r w:rsidR="007C28B4" w:rsidRPr="007E57A5">
        <w:rPr>
          <w:rFonts w:eastAsia="Calibri"/>
          <w:b/>
          <w:bCs/>
          <w:color w:val="FF0000"/>
          <w:highlight w:val="lightGray"/>
          <w:lang w:eastAsia="en-US"/>
        </w:rPr>
        <w:t xml:space="preserve"> по согласованию</w:t>
      </w:r>
      <w:r w:rsidR="001F05C7" w:rsidRPr="007E57A5">
        <w:rPr>
          <w:rFonts w:eastAsia="Calibri"/>
          <w:b/>
          <w:bCs/>
          <w:color w:val="FF0000"/>
          <w:highlight w:val="lightGray"/>
          <w:lang w:eastAsia="en-US"/>
        </w:rPr>
        <w:t>)</w:t>
      </w:r>
      <w:r w:rsidR="001F05C7" w:rsidRPr="007E57A5">
        <w:rPr>
          <w:rFonts w:eastAsia="Calibri"/>
          <w:bCs/>
          <w:highlight w:val="lightGray"/>
          <w:lang w:eastAsia="en-US"/>
        </w:rPr>
        <w:t>, в случае производственной необходимости</w:t>
      </w:r>
      <w:r w:rsidRPr="007E57A5">
        <w:rPr>
          <w:rFonts w:eastAsia="Calibri"/>
          <w:bCs/>
          <w:highlight w:val="lightGray"/>
          <w:lang w:eastAsia="en-US"/>
        </w:rPr>
        <w:t>.</w:t>
      </w:r>
    </w:p>
    <w:p w:rsidR="00731B21" w:rsidRPr="007E57A5" w:rsidRDefault="001F05C7" w:rsidP="00D54933">
      <w:pPr>
        <w:numPr>
          <w:ilvl w:val="1"/>
          <w:numId w:val="6"/>
        </w:numPr>
        <w:ind w:left="0" w:firstLine="709"/>
        <w:jc w:val="both"/>
        <w:rPr>
          <w:i/>
          <w:highlight w:val="lightGray"/>
        </w:rPr>
      </w:pPr>
      <w:r w:rsidRPr="007E57A5">
        <w:rPr>
          <w:i/>
          <w:highlight w:val="lightGray"/>
        </w:rPr>
        <w:t>Объё</w:t>
      </w:r>
      <w:r w:rsidR="004B20C3" w:rsidRPr="007E57A5">
        <w:rPr>
          <w:i/>
          <w:highlight w:val="lightGray"/>
        </w:rPr>
        <w:t>мы работ по скважинам могут быть изменены (+/-)</w:t>
      </w:r>
      <w:r w:rsidR="004C7C9C" w:rsidRPr="007E57A5">
        <w:rPr>
          <w:i/>
          <w:highlight w:val="lightGray"/>
        </w:rPr>
        <w:t xml:space="preserve"> </w:t>
      </w:r>
      <w:r w:rsidR="004B20C3" w:rsidRPr="007E57A5">
        <w:rPr>
          <w:i/>
          <w:highlight w:val="lightGray"/>
        </w:rPr>
        <w:t>в пределах проектно-сметной документации и в соо</w:t>
      </w:r>
      <w:r w:rsidR="00847ABE" w:rsidRPr="007E57A5">
        <w:rPr>
          <w:i/>
          <w:highlight w:val="lightGray"/>
        </w:rPr>
        <w:t>тветствии с условиями договора.</w:t>
      </w:r>
    </w:p>
    <w:p w:rsidR="00464329" w:rsidRDefault="00CF41D9" w:rsidP="00797FA2">
      <w:pPr>
        <w:pStyle w:val="3"/>
        <w:numPr>
          <w:ilvl w:val="0"/>
          <w:numId w:val="6"/>
        </w:numPr>
        <w:ind w:left="0" w:firstLine="709"/>
        <w:jc w:val="both"/>
        <w:rPr>
          <w:rStyle w:val="aa"/>
          <w:b/>
        </w:rPr>
      </w:pPr>
      <w:r>
        <w:rPr>
          <w:rStyle w:val="aa"/>
          <w:b/>
        </w:rPr>
        <w:t>Условия выполнения работ</w:t>
      </w:r>
      <w:r w:rsidR="00464329" w:rsidRPr="000F4AA1">
        <w:rPr>
          <w:rStyle w:val="aa"/>
          <w:b/>
        </w:rPr>
        <w:t>.</w:t>
      </w:r>
    </w:p>
    <w:p w:rsidR="00464329" w:rsidRPr="007E57A5" w:rsidRDefault="00464329" w:rsidP="00797FA2">
      <w:pPr>
        <w:numPr>
          <w:ilvl w:val="1"/>
          <w:numId w:val="6"/>
        </w:numPr>
        <w:suppressAutoHyphens/>
        <w:ind w:left="0" w:firstLine="709"/>
        <w:jc w:val="both"/>
        <w:rPr>
          <w:highlight w:val="lightGray"/>
        </w:rPr>
      </w:pPr>
      <w:r w:rsidRPr="007E57A5">
        <w:rPr>
          <w:highlight w:val="lightGray"/>
        </w:rPr>
        <w:t xml:space="preserve">Цены указывать без учета НДС. </w:t>
      </w:r>
    </w:p>
    <w:p w:rsidR="00B85431" w:rsidRPr="007E57A5" w:rsidRDefault="00B85431" w:rsidP="00BD4075">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Оплата </w:t>
      </w:r>
      <w:r w:rsidR="006801D8" w:rsidRPr="007E57A5">
        <w:rPr>
          <w:rFonts w:ascii="Times New Roman" w:hAnsi="Times New Roman"/>
          <w:sz w:val="24"/>
          <w:szCs w:val="24"/>
          <w:highlight w:val="lightGray"/>
        </w:rPr>
        <w:t xml:space="preserve">выполненных работ </w:t>
      </w:r>
      <w:r w:rsidRPr="007E57A5">
        <w:rPr>
          <w:rFonts w:ascii="Times New Roman" w:hAnsi="Times New Roman"/>
          <w:sz w:val="24"/>
          <w:szCs w:val="24"/>
          <w:highlight w:val="lightGray"/>
        </w:rPr>
        <w:t xml:space="preserve">производится Заказчиком путем перечисления денежных средств на расчетный счет исполнителя на основании Акта </w:t>
      </w:r>
      <w:r w:rsidR="00D64424" w:rsidRPr="007E57A5">
        <w:rPr>
          <w:rFonts w:ascii="Times New Roman" w:hAnsi="Times New Roman"/>
          <w:sz w:val="24"/>
          <w:szCs w:val="24"/>
          <w:highlight w:val="lightGray"/>
        </w:rPr>
        <w:t>выполненных работ</w:t>
      </w:r>
      <w:r w:rsidRPr="007E57A5">
        <w:rPr>
          <w:rFonts w:ascii="Times New Roman" w:hAnsi="Times New Roman"/>
          <w:sz w:val="24"/>
          <w:szCs w:val="24"/>
          <w:highlight w:val="lightGray"/>
        </w:rPr>
        <w:t>, подписанного обеими сторонами, в течение 90 календарных дней после получения счета-фактуры, оформленного в соответствии с требованиями п.</w:t>
      </w:r>
      <w:r w:rsidR="00D65ED7" w:rsidRPr="007E57A5">
        <w:rPr>
          <w:rFonts w:ascii="Times New Roman" w:hAnsi="Times New Roman"/>
          <w:sz w:val="24"/>
          <w:szCs w:val="24"/>
          <w:highlight w:val="lightGray"/>
        </w:rPr>
        <w:t xml:space="preserve"> </w:t>
      </w:r>
      <w:r w:rsidR="00847ABE" w:rsidRPr="007E57A5">
        <w:rPr>
          <w:rFonts w:ascii="Times New Roman" w:hAnsi="Times New Roman"/>
          <w:sz w:val="24"/>
          <w:szCs w:val="24"/>
          <w:highlight w:val="lightGray"/>
        </w:rPr>
        <w:t>5 статьи 169 НК РФ, но не ранее 60 календарных дней.</w:t>
      </w:r>
    </w:p>
    <w:p w:rsidR="00FE5037" w:rsidRPr="007E57A5" w:rsidRDefault="00D65ED7" w:rsidP="00BD4075">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Заказчик оплачивает Подрядчику операционную ставку за основное оборудование, насосное обо</w:t>
      </w:r>
      <w:r w:rsidR="00390E3F" w:rsidRPr="007E57A5">
        <w:rPr>
          <w:rFonts w:ascii="Times New Roman" w:hAnsi="Times New Roman"/>
          <w:sz w:val="24"/>
          <w:szCs w:val="24"/>
          <w:highlight w:val="lightGray"/>
        </w:rPr>
        <w:t>рудование, азотное оборудование</w:t>
      </w:r>
      <w:r w:rsidRPr="007E57A5">
        <w:rPr>
          <w:rFonts w:ascii="Times New Roman" w:hAnsi="Times New Roman"/>
          <w:sz w:val="24"/>
          <w:szCs w:val="24"/>
          <w:highlight w:val="lightGray"/>
        </w:rPr>
        <w:t xml:space="preserve"> и персонал, задействованный в </w:t>
      </w:r>
      <w:r w:rsidR="00D64424" w:rsidRPr="007E57A5">
        <w:rPr>
          <w:rFonts w:ascii="Times New Roman" w:hAnsi="Times New Roman"/>
          <w:sz w:val="24"/>
          <w:szCs w:val="24"/>
          <w:highlight w:val="lightGray"/>
        </w:rPr>
        <w:t>при производстве работ</w:t>
      </w:r>
      <w:r w:rsidR="00390E3F" w:rsidRPr="007E57A5">
        <w:rPr>
          <w:rFonts w:ascii="Times New Roman" w:hAnsi="Times New Roman"/>
          <w:sz w:val="24"/>
          <w:szCs w:val="24"/>
          <w:highlight w:val="lightGray"/>
        </w:rPr>
        <w:t xml:space="preserve">. </w:t>
      </w:r>
    </w:p>
    <w:p w:rsidR="00D65ED7" w:rsidRDefault="00FE5037" w:rsidP="00FE5037">
      <w:pPr>
        <w:pStyle w:val="a4"/>
        <w:jc w:val="both"/>
        <w:rPr>
          <w:rFonts w:ascii="Times New Roman" w:hAnsi="Times New Roman"/>
          <w:sz w:val="24"/>
          <w:szCs w:val="24"/>
        </w:rPr>
      </w:pPr>
      <w:r w:rsidRPr="007E57A5">
        <w:rPr>
          <w:rFonts w:ascii="Times New Roman" w:hAnsi="Times New Roman"/>
          <w:sz w:val="24"/>
          <w:szCs w:val="24"/>
          <w:highlight w:val="lightGray"/>
        </w:rPr>
        <w:t xml:space="preserve">          </w:t>
      </w:r>
      <w:r w:rsidR="00390E3F" w:rsidRPr="007E57A5">
        <w:rPr>
          <w:rFonts w:ascii="Times New Roman" w:hAnsi="Times New Roman"/>
          <w:sz w:val="24"/>
          <w:szCs w:val="24"/>
          <w:highlight w:val="lightGray"/>
        </w:rPr>
        <w:t>Материалы и химреагенты</w:t>
      </w:r>
      <w:r w:rsidR="002C12DA" w:rsidRPr="007E57A5">
        <w:rPr>
          <w:rFonts w:ascii="Times New Roman" w:hAnsi="Times New Roman"/>
          <w:sz w:val="24"/>
          <w:szCs w:val="24"/>
          <w:highlight w:val="lightGray"/>
        </w:rPr>
        <w:t xml:space="preserve"> оплачиваются по фактически затраченному объёму, но не более объёма</w:t>
      </w:r>
      <w:r w:rsidRPr="007E57A5">
        <w:rPr>
          <w:rFonts w:ascii="Times New Roman" w:hAnsi="Times New Roman"/>
          <w:sz w:val="24"/>
          <w:szCs w:val="24"/>
          <w:highlight w:val="lightGray"/>
        </w:rPr>
        <w:t>,</w:t>
      </w:r>
      <w:r w:rsidR="002C12DA" w:rsidRPr="007E57A5">
        <w:rPr>
          <w:rFonts w:ascii="Times New Roman" w:hAnsi="Times New Roman"/>
          <w:sz w:val="24"/>
          <w:szCs w:val="24"/>
          <w:highlight w:val="lightGray"/>
        </w:rPr>
        <w:t xml:space="preserve"> согласованного сторонами при заключении </w:t>
      </w:r>
      <w:r w:rsidR="00190829" w:rsidRPr="007E57A5">
        <w:rPr>
          <w:rFonts w:ascii="Times New Roman" w:hAnsi="Times New Roman"/>
          <w:sz w:val="24"/>
          <w:szCs w:val="24"/>
          <w:highlight w:val="lightGray"/>
        </w:rPr>
        <w:t>дого</w:t>
      </w:r>
      <w:r w:rsidRPr="007E57A5">
        <w:rPr>
          <w:rFonts w:ascii="Times New Roman" w:hAnsi="Times New Roman"/>
          <w:sz w:val="24"/>
          <w:szCs w:val="24"/>
          <w:highlight w:val="lightGray"/>
        </w:rPr>
        <w:t xml:space="preserve">вора по каждой позиции, </w:t>
      </w:r>
      <w:r w:rsidR="00835310" w:rsidRPr="007E57A5">
        <w:rPr>
          <w:rFonts w:ascii="Times New Roman" w:hAnsi="Times New Roman"/>
          <w:sz w:val="24"/>
          <w:szCs w:val="24"/>
          <w:highlight w:val="lightGray"/>
        </w:rPr>
        <w:t>в зависимости от количества разбуриваемых портов, типа скважины и максимальной глубины промывки</w:t>
      </w:r>
      <w:r w:rsidR="00D65ED7" w:rsidRPr="007E57A5">
        <w:rPr>
          <w:rFonts w:ascii="Times New Roman" w:hAnsi="Times New Roman"/>
          <w:sz w:val="24"/>
          <w:szCs w:val="24"/>
          <w:highlight w:val="lightGray"/>
        </w:rPr>
        <w:t>.</w:t>
      </w:r>
      <w:r w:rsidR="00D65ED7" w:rsidRPr="00693B01">
        <w:rPr>
          <w:rFonts w:ascii="Times New Roman" w:hAnsi="Times New Roman"/>
          <w:sz w:val="24"/>
          <w:szCs w:val="24"/>
        </w:rPr>
        <w:t xml:space="preserve"> </w:t>
      </w:r>
    </w:p>
    <w:p w:rsidR="00BD4075" w:rsidRPr="007E57A5" w:rsidRDefault="002C12DA" w:rsidP="00BD4075">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Размер </w:t>
      </w:r>
      <w:r w:rsidR="00BD4075" w:rsidRPr="007E57A5">
        <w:rPr>
          <w:rFonts w:ascii="Times New Roman" w:hAnsi="Times New Roman"/>
          <w:sz w:val="24"/>
          <w:szCs w:val="24"/>
          <w:highlight w:val="lightGray"/>
        </w:rPr>
        <w:t>ставки</w:t>
      </w:r>
      <w:r w:rsidR="00CF41D9" w:rsidRPr="007E57A5">
        <w:rPr>
          <w:rFonts w:ascii="Times New Roman" w:hAnsi="Times New Roman"/>
          <w:sz w:val="24"/>
          <w:szCs w:val="24"/>
          <w:highlight w:val="lightGray"/>
        </w:rPr>
        <w:t xml:space="preserve"> выполнения работ</w:t>
      </w:r>
      <w:r w:rsidR="00BD4075" w:rsidRPr="007E57A5">
        <w:rPr>
          <w:rFonts w:ascii="Times New Roman" w:hAnsi="Times New Roman"/>
          <w:sz w:val="24"/>
          <w:szCs w:val="24"/>
          <w:highlight w:val="lightGray"/>
        </w:rPr>
        <w:t xml:space="preserve"> на ГНКТ включает:</w:t>
      </w:r>
    </w:p>
    <w:p w:rsidR="00BD4075" w:rsidRPr="007E57A5" w:rsidRDefault="00BD4075" w:rsidP="00BD4075">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 стоимость </w:t>
      </w:r>
      <w:r w:rsidR="0017607C" w:rsidRPr="007E57A5">
        <w:rPr>
          <w:rFonts w:ascii="Times New Roman" w:hAnsi="Times New Roman"/>
          <w:sz w:val="24"/>
          <w:szCs w:val="24"/>
          <w:highlight w:val="lightGray"/>
        </w:rPr>
        <w:t xml:space="preserve">работ по разбуриванию портов компоновок МГРП, промывка </w:t>
      </w:r>
      <w:r w:rsidRPr="007E57A5">
        <w:rPr>
          <w:rFonts w:ascii="Times New Roman" w:hAnsi="Times New Roman"/>
          <w:sz w:val="24"/>
          <w:szCs w:val="24"/>
          <w:highlight w:val="lightGray"/>
        </w:rPr>
        <w:t xml:space="preserve">забоя </w:t>
      </w:r>
      <w:r w:rsidR="0017607C" w:rsidRPr="007E57A5">
        <w:rPr>
          <w:rFonts w:ascii="Times New Roman" w:hAnsi="Times New Roman"/>
          <w:sz w:val="24"/>
          <w:szCs w:val="24"/>
          <w:highlight w:val="lightGray"/>
        </w:rPr>
        <w:t>скважины от мехпримесей, дополнительно по согласованию с Заказчиком - освоение с применением азота при различных режимах подачи азота</w:t>
      </w:r>
      <w:r w:rsidR="00003A14" w:rsidRPr="007E57A5">
        <w:rPr>
          <w:rFonts w:ascii="Times New Roman" w:hAnsi="Times New Roman"/>
          <w:sz w:val="24"/>
          <w:szCs w:val="24"/>
          <w:highlight w:val="lightGray"/>
        </w:rPr>
        <w:t xml:space="preserve"> </w:t>
      </w:r>
      <w:r w:rsidR="0017607C" w:rsidRPr="007E57A5">
        <w:rPr>
          <w:rFonts w:ascii="Times New Roman" w:hAnsi="Times New Roman"/>
          <w:sz w:val="24"/>
          <w:szCs w:val="24"/>
          <w:highlight w:val="lightGray"/>
        </w:rPr>
        <w:t xml:space="preserve">(1 цикл – </w:t>
      </w:r>
      <w:r w:rsidR="00A71761" w:rsidRPr="007E57A5">
        <w:rPr>
          <w:rFonts w:ascii="Times New Roman" w:hAnsi="Times New Roman"/>
          <w:sz w:val="24"/>
          <w:szCs w:val="24"/>
          <w:highlight w:val="lightGray"/>
        </w:rPr>
        <w:t>4</w:t>
      </w:r>
      <w:r w:rsidR="0017607C" w:rsidRPr="007E57A5">
        <w:rPr>
          <w:rFonts w:ascii="Times New Roman" w:hAnsi="Times New Roman"/>
          <w:sz w:val="24"/>
          <w:szCs w:val="24"/>
          <w:highlight w:val="lightGray"/>
        </w:rPr>
        <w:t xml:space="preserve"> часа), количество циклов согласовывается с Заказчиком</w:t>
      </w:r>
      <w:r w:rsidR="00003A14" w:rsidRPr="007E57A5">
        <w:rPr>
          <w:rFonts w:ascii="Times New Roman" w:hAnsi="Times New Roman"/>
          <w:sz w:val="24"/>
          <w:szCs w:val="24"/>
          <w:highlight w:val="lightGray"/>
        </w:rPr>
        <w:t xml:space="preserve"> (стандартно 2 цикла)</w:t>
      </w:r>
      <w:r w:rsidRPr="007E57A5">
        <w:rPr>
          <w:rFonts w:ascii="Times New Roman" w:hAnsi="Times New Roman"/>
          <w:sz w:val="24"/>
          <w:szCs w:val="24"/>
          <w:highlight w:val="lightGray"/>
        </w:rPr>
        <w:t xml:space="preserve">; </w:t>
      </w:r>
    </w:p>
    <w:p w:rsidR="004E618B" w:rsidRPr="007E57A5" w:rsidRDefault="004E618B" w:rsidP="00BD4075">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 промывка забоя скважины от мехпримесей, дополнительно по согласованию с Заказчиком - освоение с применением азота при различных режимах подачи азота (1 цикл – 4 часа), количество циклов согласовывается с Заказчиком (стандартно 2 цикла);</w:t>
      </w:r>
    </w:p>
    <w:p w:rsidR="00AB74DB" w:rsidRPr="007E57A5" w:rsidRDefault="002D1757" w:rsidP="00003A14">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 стоимость переездов флота ГНКТ, между месторождениями</w:t>
      </w:r>
      <w:r w:rsidR="00A71761" w:rsidRPr="007E57A5">
        <w:rPr>
          <w:rFonts w:ascii="Times New Roman" w:hAnsi="Times New Roman"/>
          <w:sz w:val="24"/>
          <w:szCs w:val="24"/>
          <w:highlight w:val="lightGray"/>
        </w:rPr>
        <w:t xml:space="preserve"> </w:t>
      </w:r>
      <w:r w:rsidR="00003A14" w:rsidRPr="007E57A5">
        <w:rPr>
          <w:rFonts w:ascii="Times New Roman" w:hAnsi="Times New Roman"/>
          <w:sz w:val="24"/>
          <w:szCs w:val="24"/>
          <w:highlight w:val="lightGray"/>
        </w:rPr>
        <w:t>до</w:t>
      </w:r>
      <w:r w:rsidR="00A71761" w:rsidRPr="007E57A5">
        <w:rPr>
          <w:rFonts w:ascii="Times New Roman" w:hAnsi="Times New Roman"/>
          <w:sz w:val="24"/>
          <w:szCs w:val="24"/>
          <w:highlight w:val="lightGray"/>
        </w:rPr>
        <w:t xml:space="preserve"> 65 км</w:t>
      </w:r>
      <w:r w:rsidR="00003A14" w:rsidRPr="007E57A5">
        <w:rPr>
          <w:rFonts w:ascii="Times New Roman" w:hAnsi="Times New Roman"/>
          <w:sz w:val="24"/>
          <w:szCs w:val="24"/>
          <w:highlight w:val="lightGray"/>
        </w:rPr>
        <w:t>;</w:t>
      </w:r>
    </w:p>
    <w:p w:rsidR="00B85431" w:rsidRPr="007E57A5" w:rsidRDefault="00B85431" w:rsidP="00797FA2">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Простои </w:t>
      </w:r>
      <w:r w:rsidR="0094521C" w:rsidRPr="007E57A5">
        <w:rPr>
          <w:rFonts w:ascii="Times New Roman" w:hAnsi="Times New Roman"/>
          <w:sz w:val="24"/>
          <w:szCs w:val="24"/>
          <w:highlight w:val="lightGray"/>
        </w:rPr>
        <w:t>флота ГНКТ</w:t>
      </w:r>
      <w:r w:rsidR="006801D8" w:rsidRPr="007E57A5">
        <w:rPr>
          <w:rFonts w:ascii="Times New Roman" w:hAnsi="Times New Roman"/>
          <w:sz w:val="24"/>
          <w:szCs w:val="24"/>
          <w:highlight w:val="lightGray"/>
        </w:rPr>
        <w:t xml:space="preserve"> </w:t>
      </w:r>
      <w:r w:rsidRPr="007E57A5">
        <w:rPr>
          <w:rFonts w:ascii="Times New Roman" w:hAnsi="Times New Roman"/>
          <w:sz w:val="24"/>
          <w:szCs w:val="24"/>
          <w:highlight w:val="lightGray"/>
        </w:rPr>
        <w:t>по вине Подрядчика не оплачиваются</w:t>
      </w:r>
      <w:r w:rsidR="0094521C" w:rsidRPr="007E57A5">
        <w:rPr>
          <w:rFonts w:ascii="Times New Roman" w:hAnsi="Times New Roman"/>
          <w:sz w:val="24"/>
          <w:szCs w:val="24"/>
          <w:highlight w:val="lightGray"/>
        </w:rPr>
        <w:t>.</w:t>
      </w:r>
      <w:r w:rsidRPr="007E57A5">
        <w:rPr>
          <w:rFonts w:ascii="Times New Roman" w:hAnsi="Times New Roman"/>
          <w:sz w:val="24"/>
          <w:szCs w:val="24"/>
          <w:highlight w:val="lightGray"/>
        </w:rPr>
        <w:t xml:space="preserve"> </w:t>
      </w:r>
    </w:p>
    <w:p w:rsidR="006801D8" w:rsidRPr="007E57A5" w:rsidRDefault="006801D8" w:rsidP="00797FA2">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Текст договора не предусматривает предоплаты.</w:t>
      </w:r>
    </w:p>
    <w:p w:rsidR="00205592" w:rsidRDefault="00205592" w:rsidP="00797FA2">
      <w:pPr>
        <w:pStyle w:val="a4"/>
        <w:ind w:firstLine="709"/>
        <w:jc w:val="both"/>
        <w:rPr>
          <w:rFonts w:ascii="Times New Roman" w:hAnsi="Times New Roman"/>
          <w:sz w:val="24"/>
          <w:szCs w:val="24"/>
        </w:rPr>
      </w:pPr>
    </w:p>
    <w:p w:rsidR="00205592" w:rsidRDefault="00205592" w:rsidP="00797FA2">
      <w:pPr>
        <w:pStyle w:val="3"/>
        <w:numPr>
          <w:ilvl w:val="0"/>
          <w:numId w:val="6"/>
        </w:numPr>
        <w:ind w:left="0" w:firstLine="709"/>
        <w:jc w:val="both"/>
        <w:rPr>
          <w:rStyle w:val="aa"/>
          <w:b/>
        </w:rPr>
      </w:pPr>
      <w:r w:rsidRPr="000F4AA1">
        <w:rPr>
          <w:rStyle w:val="aa"/>
          <w:b/>
        </w:rPr>
        <w:t>Сроки выполнения работ.</w:t>
      </w:r>
    </w:p>
    <w:p w:rsidR="00731B21" w:rsidRDefault="00731B21" w:rsidP="00731B21">
      <w:pPr>
        <w:pStyle w:val="a4"/>
        <w:numPr>
          <w:ilvl w:val="1"/>
          <w:numId w:val="6"/>
        </w:numPr>
        <w:ind w:left="0" w:firstLine="709"/>
        <w:jc w:val="both"/>
        <w:rPr>
          <w:rFonts w:ascii="Times New Roman" w:hAnsi="Times New Roman"/>
          <w:sz w:val="24"/>
          <w:szCs w:val="24"/>
        </w:rPr>
      </w:pPr>
      <w:r w:rsidRPr="007E57A5">
        <w:rPr>
          <w:rFonts w:ascii="Times New Roman" w:hAnsi="Times New Roman"/>
          <w:sz w:val="24"/>
          <w:szCs w:val="24"/>
          <w:highlight w:val="lightGray"/>
        </w:rPr>
        <w:t>Начало работ</w:t>
      </w:r>
      <w:r w:rsidR="00015357" w:rsidRPr="007E57A5">
        <w:rPr>
          <w:rFonts w:ascii="Times New Roman" w:hAnsi="Times New Roman"/>
          <w:sz w:val="24"/>
          <w:szCs w:val="24"/>
          <w:highlight w:val="lightGray"/>
        </w:rPr>
        <w:t xml:space="preserve"> </w:t>
      </w:r>
      <w:r w:rsidRPr="007E57A5">
        <w:rPr>
          <w:rFonts w:ascii="Times New Roman" w:hAnsi="Times New Roman"/>
          <w:sz w:val="24"/>
          <w:szCs w:val="24"/>
          <w:highlight w:val="lightGray"/>
        </w:rPr>
        <w:t xml:space="preserve">– </w:t>
      </w:r>
      <w:r w:rsidR="00D274A7" w:rsidRPr="007E57A5">
        <w:rPr>
          <w:rFonts w:ascii="Times New Roman" w:hAnsi="Times New Roman"/>
          <w:sz w:val="24"/>
          <w:szCs w:val="24"/>
          <w:highlight w:val="lightGray"/>
        </w:rPr>
        <w:t>___</w:t>
      </w:r>
      <w:r w:rsidR="00015357" w:rsidRPr="007E57A5">
        <w:rPr>
          <w:rFonts w:ascii="Times New Roman" w:hAnsi="Times New Roman"/>
          <w:sz w:val="24"/>
          <w:szCs w:val="24"/>
          <w:highlight w:val="lightGray"/>
        </w:rPr>
        <w:t xml:space="preserve"> </w:t>
      </w:r>
      <w:r w:rsidR="00AB5AA2" w:rsidRPr="007E57A5">
        <w:rPr>
          <w:rFonts w:ascii="Times New Roman" w:hAnsi="Times New Roman"/>
          <w:sz w:val="24"/>
          <w:szCs w:val="24"/>
          <w:highlight w:val="lightGray"/>
        </w:rPr>
        <w:t>_________</w:t>
      </w:r>
      <w:r w:rsidRPr="007E57A5">
        <w:rPr>
          <w:rFonts w:ascii="Times New Roman" w:hAnsi="Times New Roman"/>
          <w:sz w:val="24"/>
          <w:szCs w:val="24"/>
          <w:highlight w:val="lightGray"/>
        </w:rPr>
        <w:t xml:space="preserve"> 20</w:t>
      </w:r>
      <w:r w:rsidR="00D274A7" w:rsidRPr="007E57A5">
        <w:rPr>
          <w:rFonts w:ascii="Times New Roman" w:hAnsi="Times New Roman"/>
          <w:sz w:val="24"/>
          <w:szCs w:val="24"/>
          <w:highlight w:val="lightGray"/>
        </w:rPr>
        <w:t>___</w:t>
      </w:r>
      <w:r w:rsidRPr="007E57A5">
        <w:rPr>
          <w:rFonts w:ascii="Times New Roman" w:hAnsi="Times New Roman"/>
          <w:sz w:val="24"/>
          <w:szCs w:val="24"/>
          <w:highlight w:val="lightGray"/>
        </w:rPr>
        <w:t xml:space="preserve">г., окончание работ </w:t>
      </w:r>
      <w:r w:rsidR="00D274A7" w:rsidRPr="007E57A5">
        <w:rPr>
          <w:rFonts w:ascii="Times New Roman" w:hAnsi="Times New Roman"/>
          <w:sz w:val="24"/>
          <w:szCs w:val="24"/>
          <w:highlight w:val="lightGray"/>
        </w:rPr>
        <w:t>___</w:t>
      </w:r>
      <w:r w:rsidRPr="007E57A5">
        <w:rPr>
          <w:rFonts w:ascii="Times New Roman" w:hAnsi="Times New Roman"/>
          <w:sz w:val="24"/>
          <w:szCs w:val="24"/>
          <w:highlight w:val="lightGray"/>
        </w:rPr>
        <w:t xml:space="preserve"> </w:t>
      </w:r>
      <w:r w:rsidR="00AB5AA2" w:rsidRPr="007E57A5">
        <w:rPr>
          <w:rFonts w:ascii="Times New Roman" w:hAnsi="Times New Roman"/>
          <w:sz w:val="24"/>
          <w:szCs w:val="24"/>
          <w:highlight w:val="lightGray"/>
        </w:rPr>
        <w:t>________</w:t>
      </w:r>
      <w:r w:rsidRPr="007E57A5">
        <w:rPr>
          <w:rFonts w:ascii="Times New Roman" w:hAnsi="Times New Roman"/>
          <w:sz w:val="24"/>
          <w:szCs w:val="24"/>
          <w:highlight w:val="lightGray"/>
        </w:rPr>
        <w:t xml:space="preserve"> 20</w:t>
      </w:r>
      <w:r w:rsidR="00D274A7" w:rsidRPr="007E57A5">
        <w:rPr>
          <w:rFonts w:ascii="Times New Roman" w:hAnsi="Times New Roman"/>
          <w:sz w:val="24"/>
          <w:szCs w:val="24"/>
          <w:highlight w:val="lightGray"/>
        </w:rPr>
        <w:t>___</w:t>
      </w:r>
      <w:r w:rsidRPr="007E57A5">
        <w:rPr>
          <w:rFonts w:ascii="Times New Roman" w:hAnsi="Times New Roman"/>
          <w:sz w:val="24"/>
          <w:szCs w:val="24"/>
          <w:highlight w:val="lightGray"/>
        </w:rPr>
        <w:t>г.</w:t>
      </w:r>
    </w:p>
    <w:p w:rsidR="00205592" w:rsidRDefault="00205592" w:rsidP="00DA0425">
      <w:pPr>
        <w:pStyle w:val="a4"/>
        <w:jc w:val="both"/>
        <w:rPr>
          <w:rFonts w:ascii="Times New Roman" w:hAnsi="Times New Roman"/>
          <w:sz w:val="24"/>
          <w:szCs w:val="24"/>
        </w:rPr>
      </w:pPr>
    </w:p>
    <w:p w:rsidR="00205592" w:rsidRPr="000F4AA1" w:rsidRDefault="006B7A15" w:rsidP="00797FA2">
      <w:pPr>
        <w:pStyle w:val="3"/>
        <w:numPr>
          <w:ilvl w:val="0"/>
          <w:numId w:val="6"/>
        </w:numPr>
        <w:ind w:left="0" w:firstLine="709"/>
        <w:jc w:val="both"/>
        <w:rPr>
          <w:rStyle w:val="aa"/>
          <w:b/>
        </w:rPr>
      </w:pPr>
      <w:r w:rsidRPr="000F4AA1">
        <w:rPr>
          <w:rStyle w:val="aa"/>
          <w:b/>
        </w:rPr>
        <w:t>Основные требования к Претендентам</w:t>
      </w:r>
      <w:r w:rsidR="00205592" w:rsidRPr="000F4AA1">
        <w:rPr>
          <w:rStyle w:val="aa"/>
          <w:b/>
        </w:rPr>
        <w:t>.</w:t>
      </w:r>
    </w:p>
    <w:p w:rsidR="008A624F" w:rsidRPr="007E57A5" w:rsidRDefault="00BD4075" w:rsidP="008A624F">
      <w:pPr>
        <w:numPr>
          <w:ilvl w:val="1"/>
          <w:numId w:val="6"/>
        </w:numPr>
        <w:tabs>
          <w:tab w:val="left" w:pos="-567"/>
          <w:tab w:val="left" w:pos="-284"/>
        </w:tabs>
        <w:autoSpaceDE w:val="0"/>
        <w:autoSpaceDN w:val="0"/>
        <w:adjustRightInd w:val="0"/>
        <w:spacing w:before="240"/>
        <w:ind w:left="0" w:firstLine="709"/>
        <w:jc w:val="both"/>
        <w:rPr>
          <w:highlight w:val="lightGray"/>
        </w:rPr>
      </w:pPr>
      <w:r w:rsidRPr="007E57A5">
        <w:rPr>
          <w:highlight w:val="lightGray"/>
        </w:rPr>
        <w:t>Обязательная минимальная оснащенность каждого флота ГНКТ Контрагента</w:t>
      </w:r>
      <w:r w:rsidR="008A624F" w:rsidRPr="007E57A5">
        <w:rPr>
          <w:highlight w:val="lightGray"/>
        </w:rPr>
        <w:t xml:space="preserve"> включают установку ГНКТ, оборудованную гибкой трубой в количестве </w:t>
      </w:r>
      <w:r w:rsidR="00CD60BB" w:rsidRPr="007E57A5">
        <w:rPr>
          <w:highlight w:val="lightGray"/>
        </w:rPr>
        <w:t xml:space="preserve">не менее 4200 метров и диаметром не менее 38,1 мм (иметь в наличии ГНКТ диаметром </w:t>
      </w:r>
      <w:r w:rsidR="008A624F" w:rsidRPr="007E57A5">
        <w:rPr>
          <w:highlight w:val="lightGray"/>
        </w:rPr>
        <w:t>44</w:t>
      </w:r>
      <w:r w:rsidR="001722DC" w:rsidRPr="007E57A5">
        <w:rPr>
          <w:highlight w:val="lightGray"/>
        </w:rPr>
        <w:t>,5</w:t>
      </w:r>
      <w:r w:rsidR="00DA0425" w:rsidRPr="007E57A5">
        <w:rPr>
          <w:highlight w:val="lightGray"/>
        </w:rPr>
        <w:t xml:space="preserve"> мм, 50,8</w:t>
      </w:r>
      <w:r w:rsidR="008A624F" w:rsidRPr="007E57A5">
        <w:rPr>
          <w:highlight w:val="lightGray"/>
        </w:rPr>
        <w:t xml:space="preserve"> мм; стандартный блок превенторов рассчитанных на рабочее давление не менее 5000 psi (3</w:t>
      </w:r>
      <w:r w:rsidR="00AB1AD1" w:rsidRPr="007E57A5">
        <w:rPr>
          <w:highlight w:val="lightGray"/>
        </w:rPr>
        <w:t xml:space="preserve">44,7 атм); штуцерный манифольд </w:t>
      </w:r>
      <w:r w:rsidR="008A624F" w:rsidRPr="007E57A5">
        <w:rPr>
          <w:highlight w:val="lightGray"/>
        </w:rPr>
        <w:t xml:space="preserve">(макс. раб. давление 340 атм.), в комплекте с линиями высокого давления; стандартную компоновку низа колонны (КНК), состоящую из коннектора ГНКТ, </w:t>
      </w:r>
      <w:r w:rsidR="008A624F" w:rsidRPr="007E57A5">
        <w:rPr>
          <w:highlight w:val="lightGray"/>
        </w:rPr>
        <w:lastRenderedPageBreak/>
        <w:t>разъединителя, двойного створчатого обратного  клапана и циркуляционной (промывочной) насадки любого типа, обеспечивающие разбуривание шаров/седел компоновки для многостадийных ГРП, нормализацию забоя (в том числе с цементной коркой); прецизионный измеритель  длины ГН</w:t>
      </w:r>
      <w:r w:rsidR="00C81699" w:rsidRPr="007E57A5">
        <w:rPr>
          <w:highlight w:val="lightGray"/>
        </w:rPr>
        <w:t xml:space="preserve">КТ; инжектор с тяговым усилием </w:t>
      </w:r>
      <w:r w:rsidR="00FE5037" w:rsidRPr="007E57A5">
        <w:rPr>
          <w:highlight w:val="lightGray"/>
        </w:rPr>
        <w:t>27</w:t>
      </w:r>
      <w:r w:rsidR="00B26B71" w:rsidRPr="007E57A5">
        <w:rPr>
          <w:highlight w:val="lightGray"/>
        </w:rPr>
        <w:t>т, 36 т</w:t>
      </w:r>
      <w:r w:rsidR="008A624F" w:rsidRPr="007E57A5">
        <w:rPr>
          <w:highlight w:val="lightGray"/>
        </w:rPr>
        <w:t>; пульт управления оператора; система сбора данных; компьютерную систему обработки данных и моделирования ра</w:t>
      </w:r>
      <w:r w:rsidR="00B26B71" w:rsidRPr="007E57A5">
        <w:rPr>
          <w:highlight w:val="lightGray"/>
        </w:rPr>
        <w:t xml:space="preserve">бот; автокран грузоподъемностью </w:t>
      </w:r>
      <w:r w:rsidR="008A624F" w:rsidRPr="007E57A5">
        <w:rPr>
          <w:highlight w:val="lightGray"/>
        </w:rPr>
        <w:t>25 тонн; передвижную парогенераторную установку (ППУ); спецтехнику для переезда комплекса ГНКТ.</w:t>
      </w:r>
    </w:p>
    <w:p w:rsidR="008A624F" w:rsidRPr="007E57A5" w:rsidRDefault="008A624F" w:rsidP="008A624F">
      <w:pPr>
        <w:ind w:firstLine="709"/>
        <w:jc w:val="both"/>
        <w:rPr>
          <w:highlight w:val="lightGray"/>
        </w:rPr>
      </w:pPr>
      <w:r w:rsidRPr="007E57A5">
        <w:rPr>
          <w:highlight w:val="lightGray"/>
        </w:rPr>
        <w:t xml:space="preserve">Стандартные </w:t>
      </w:r>
      <w:r w:rsidR="001B2E64" w:rsidRPr="007E57A5">
        <w:rPr>
          <w:highlight w:val="lightGray"/>
        </w:rPr>
        <w:t>Работы</w:t>
      </w:r>
      <w:r w:rsidRPr="007E57A5">
        <w:rPr>
          <w:highlight w:val="lightGray"/>
        </w:rPr>
        <w:t xml:space="preserve"> по </w:t>
      </w:r>
      <w:r w:rsidRPr="007E57A5">
        <w:rPr>
          <w:bCs/>
          <w:highlight w:val="lightGray"/>
        </w:rPr>
        <w:t>ГНКТ</w:t>
      </w:r>
      <w:r w:rsidRPr="007E57A5">
        <w:rPr>
          <w:highlight w:val="lightGray"/>
        </w:rPr>
        <w:t xml:space="preserve"> включают азотный конвертер в комплекте с линиями высокого давления </w:t>
      </w:r>
      <w:r w:rsidR="00C81699" w:rsidRPr="007E57A5">
        <w:rPr>
          <w:highlight w:val="lightGray"/>
        </w:rPr>
        <w:t xml:space="preserve">(максимальное рабочее давление </w:t>
      </w:r>
      <w:r w:rsidRPr="007E57A5">
        <w:rPr>
          <w:highlight w:val="lightGray"/>
        </w:rPr>
        <w:t xml:space="preserve">не менее 340 атм, максимальная производительность по газу не менее 30 м3/мин); резервуар  емкостью </w:t>
      </w:r>
      <w:r w:rsidR="00FE5037" w:rsidRPr="007E57A5">
        <w:rPr>
          <w:highlight w:val="lightGray"/>
        </w:rPr>
        <w:t>8</w:t>
      </w:r>
      <w:r w:rsidRPr="007E57A5">
        <w:rPr>
          <w:highlight w:val="lightGray"/>
        </w:rPr>
        <w:t xml:space="preserve"> м3 для жидкого азота в комплекте со шлангами для п</w:t>
      </w:r>
      <w:r w:rsidR="00AB1AD1" w:rsidRPr="007E57A5">
        <w:rPr>
          <w:highlight w:val="lightGray"/>
        </w:rPr>
        <w:t xml:space="preserve">одачи азота; а/м с резервуаром </w:t>
      </w:r>
      <w:r w:rsidRPr="007E57A5">
        <w:rPr>
          <w:highlight w:val="lightGray"/>
        </w:rPr>
        <w:t xml:space="preserve">емкостью не менее </w:t>
      </w:r>
      <w:r w:rsidR="00FE5037" w:rsidRPr="007E57A5">
        <w:rPr>
          <w:highlight w:val="lightGray"/>
        </w:rPr>
        <w:t>10</w:t>
      </w:r>
      <w:r w:rsidRPr="007E57A5">
        <w:rPr>
          <w:highlight w:val="lightGray"/>
        </w:rPr>
        <w:t xml:space="preserve"> м3 для транспортировки жидкого азота в комплекте со шлангами для подачи азота.</w:t>
      </w:r>
    </w:p>
    <w:p w:rsidR="008A624F" w:rsidRPr="007E57A5" w:rsidRDefault="001B2E64" w:rsidP="008A624F">
      <w:pPr>
        <w:ind w:firstLine="709"/>
        <w:jc w:val="both"/>
        <w:rPr>
          <w:color w:val="000000"/>
          <w:highlight w:val="lightGray"/>
        </w:rPr>
      </w:pPr>
      <w:r w:rsidRPr="007E57A5">
        <w:rPr>
          <w:highlight w:val="lightGray"/>
        </w:rPr>
        <w:t>Н</w:t>
      </w:r>
      <w:r w:rsidR="008A624F" w:rsidRPr="007E57A5">
        <w:rPr>
          <w:highlight w:val="lightGray"/>
        </w:rPr>
        <w:t>асосно</w:t>
      </w:r>
      <w:r w:rsidRPr="007E57A5">
        <w:rPr>
          <w:highlight w:val="lightGray"/>
        </w:rPr>
        <w:t>е</w:t>
      </w:r>
      <w:r w:rsidR="008A624F" w:rsidRPr="007E57A5">
        <w:rPr>
          <w:highlight w:val="lightGray"/>
        </w:rPr>
        <w:t xml:space="preserve"> оборудовани</w:t>
      </w:r>
      <w:r w:rsidR="00C7721C" w:rsidRPr="007E57A5">
        <w:rPr>
          <w:highlight w:val="lightGray"/>
        </w:rPr>
        <w:t>е</w:t>
      </w:r>
      <w:r w:rsidR="008A624F" w:rsidRPr="007E57A5">
        <w:rPr>
          <w:highlight w:val="lightGray"/>
        </w:rPr>
        <w:t xml:space="preserve"> Подрядчика включа</w:t>
      </w:r>
      <w:r w:rsidR="00C7721C" w:rsidRPr="007E57A5">
        <w:rPr>
          <w:highlight w:val="lightGray"/>
        </w:rPr>
        <w:t>е</w:t>
      </w:r>
      <w:r w:rsidR="0023477A" w:rsidRPr="007E57A5">
        <w:rPr>
          <w:highlight w:val="lightGray"/>
        </w:rPr>
        <w:t>т</w:t>
      </w:r>
      <w:r w:rsidR="008A624F" w:rsidRPr="007E57A5">
        <w:rPr>
          <w:highlight w:val="lightGray"/>
        </w:rPr>
        <w:t xml:space="preserve"> </w:t>
      </w:r>
      <w:r w:rsidR="008A624F" w:rsidRPr="007E57A5">
        <w:rPr>
          <w:color w:val="000000"/>
          <w:highlight w:val="lightGray"/>
        </w:rPr>
        <w:t>насосную установку высокого давления в комплекте с линиями высокого давления и шлангами (максимальное рабочее давление  не менее 340атм, максимальный расход жидкости не менее 0,</w:t>
      </w:r>
      <w:r w:rsidR="00FD5F92" w:rsidRPr="007E57A5">
        <w:rPr>
          <w:color w:val="000000"/>
          <w:highlight w:val="lightGray"/>
        </w:rPr>
        <w:t>5</w:t>
      </w:r>
      <w:r w:rsidR="008A624F" w:rsidRPr="007E57A5">
        <w:rPr>
          <w:color w:val="000000"/>
          <w:highlight w:val="lightGray"/>
        </w:rPr>
        <w:t>м3/мин); насосный агрегат (аналогичный ЦА-320); циркуляционную емкость с газосепаратором объемом не менее 27м³; емкость для сбора поступающей из скважины жидкости не менее 40м</w:t>
      </w:r>
      <w:r w:rsidR="008A624F" w:rsidRPr="007E57A5">
        <w:rPr>
          <w:color w:val="000000"/>
          <w:highlight w:val="lightGray"/>
          <w:vertAlign w:val="superscript"/>
        </w:rPr>
        <w:t>3</w:t>
      </w:r>
      <w:r w:rsidR="008A624F" w:rsidRPr="007E57A5">
        <w:rPr>
          <w:color w:val="000000"/>
          <w:highlight w:val="lightGray"/>
        </w:rPr>
        <w:t xml:space="preserve">; передвижную парогенераторную установку (ППУ) и  АДПН, в зависимости от условий проведения работы (температура окружающей среды, характер применяемой рабочей  жидкости и т. д. и т.п.); а/м для завоза промывочных жидкостей (аналогичный АЦН-10); вакуумную установку объемом </w:t>
      </w:r>
      <w:smartTag w:uri="urn:schemas-microsoft-com:office:smarttags" w:element="metricconverter">
        <w:smartTagPr>
          <w:attr w:name="ProductID" w:val="10 м3"/>
        </w:smartTagPr>
        <w:r w:rsidR="008A624F" w:rsidRPr="007E57A5">
          <w:rPr>
            <w:color w:val="000000"/>
            <w:highlight w:val="lightGray"/>
          </w:rPr>
          <w:t>10 м</w:t>
        </w:r>
        <w:r w:rsidR="008A624F" w:rsidRPr="007E57A5">
          <w:rPr>
            <w:color w:val="000000"/>
            <w:highlight w:val="lightGray"/>
            <w:vertAlign w:val="superscript"/>
          </w:rPr>
          <w:t>3</w:t>
        </w:r>
      </w:smartTag>
      <w:r w:rsidR="008A624F" w:rsidRPr="007E57A5">
        <w:rPr>
          <w:color w:val="000000"/>
          <w:highlight w:val="lightGray"/>
        </w:rPr>
        <w:t>.</w:t>
      </w:r>
    </w:p>
    <w:p w:rsidR="008A624F" w:rsidRPr="007E57A5" w:rsidRDefault="008A624F" w:rsidP="008A624F">
      <w:pPr>
        <w:ind w:firstLine="709"/>
        <w:jc w:val="both"/>
        <w:rPr>
          <w:highlight w:val="lightGray"/>
        </w:rPr>
      </w:pPr>
      <w:r w:rsidRPr="007E57A5">
        <w:rPr>
          <w:highlight w:val="lightGray"/>
        </w:rPr>
        <w:t>Комплект оборудования для разбуривания включает гидромониторные насадки различных диаметров, свинцовые печати под размер гибкой трубы, забойные двигатели, разрушающий инструмент (Фрезы изготавливаются согласно спецификации Заказчика для обеспечения оптимального времени разбуривания шаровых седел для МГРП, а также мостовых пробок), необходимые химические реагенты</w:t>
      </w:r>
      <w:r w:rsidR="007B2B53" w:rsidRPr="007E57A5">
        <w:rPr>
          <w:highlight w:val="lightGray"/>
        </w:rPr>
        <w:t>,</w:t>
      </w:r>
      <w:r w:rsidRPr="007E57A5">
        <w:rPr>
          <w:highlight w:val="lightGray"/>
        </w:rPr>
        <w:t xml:space="preserve"> а так же вспомогательные инструменты (Завозятся или изготавливаются на месте согласно требованиям Заказчика для проведения конкретных проектных работ).</w:t>
      </w:r>
    </w:p>
    <w:p w:rsidR="006B7A15" w:rsidRPr="007E57A5" w:rsidRDefault="006B7A15" w:rsidP="00427411">
      <w:pPr>
        <w:numPr>
          <w:ilvl w:val="1"/>
          <w:numId w:val="6"/>
        </w:numPr>
        <w:tabs>
          <w:tab w:val="left" w:pos="709"/>
        </w:tabs>
        <w:autoSpaceDE w:val="0"/>
        <w:autoSpaceDN w:val="0"/>
        <w:adjustRightInd w:val="0"/>
        <w:spacing w:before="240"/>
        <w:ind w:left="0" w:firstLine="709"/>
        <w:jc w:val="both"/>
        <w:rPr>
          <w:highlight w:val="lightGray"/>
        </w:rPr>
      </w:pPr>
      <w:r w:rsidRPr="007E57A5">
        <w:rPr>
          <w:highlight w:val="lightGray"/>
        </w:rPr>
        <w:t xml:space="preserve">Наличие лицензий (разрешений), предусмотренных законодательством Российской Федерации, на осуществление данного вида работ сроком до </w:t>
      </w:r>
      <w:r w:rsidR="005F4968" w:rsidRPr="007E57A5">
        <w:rPr>
          <w:highlight w:val="lightGray"/>
        </w:rPr>
        <w:t>«___»</w:t>
      </w:r>
      <w:r w:rsidR="00720D20" w:rsidRPr="007E57A5">
        <w:rPr>
          <w:highlight w:val="lightGray"/>
        </w:rPr>
        <w:t xml:space="preserve"> </w:t>
      </w:r>
      <w:r w:rsidR="005F4968" w:rsidRPr="007E57A5">
        <w:rPr>
          <w:highlight w:val="lightGray"/>
        </w:rPr>
        <w:t>_______</w:t>
      </w:r>
      <w:r w:rsidR="00720D20" w:rsidRPr="007E57A5">
        <w:rPr>
          <w:highlight w:val="lightGray"/>
        </w:rPr>
        <w:t xml:space="preserve"> </w:t>
      </w:r>
      <w:r w:rsidRPr="007E57A5">
        <w:rPr>
          <w:highlight w:val="lightGray"/>
        </w:rPr>
        <w:t>20</w:t>
      </w:r>
      <w:r w:rsidR="005F4968" w:rsidRPr="007E57A5">
        <w:rPr>
          <w:highlight w:val="lightGray"/>
        </w:rPr>
        <w:t>___</w:t>
      </w:r>
      <w:r w:rsidR="00720D20" w:rsidRPr="007E57A5">
        <w:rPr>
          <w:highlight w:val="lightGray"/>
        </w:rPr>
        <w:t>г.</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Выполнение работ в соответствии с требованиями Технического задания ОАО «СН-МНГ»</w:t>
      </w:r>
      <w:r w:rsidR="00485816" w:rsidRPr="007E57A5">
        <w:rPr>
          <w:iCs/>
          <w:spacing w:val="-6"/>
          <w:highlight w:val="lightGray"/>
        </w:rPr>
        <w:t xml:space="preserve"> на промывку и освоение скважин, р</w:t>
      </w:r>
      <w:r w:rsidRPr="007E57A5">
        <w:rPr>
          <w:iCs/>
          <w:spacing w:val="-6"/>
          <w:highlight w:val="lightGray"/>
        </w:rPr>
        <w:t>азбуривание портов</w:t>
      </w:r>
      <w:r w:rsidR="00485816" w:rsidRPr="007E57A5">
        <w:rPr>
          <w:iCs/>
          <w:spacing w:val="-6"/>
          <w:highlight w:val="lightGray"/>
        </w:rPr>
        <w:t xml:space="preserve"> компоновок</w:t>
      </w:r>
      <w:r w:rsidRPr="007E57A5">
        <w:rPr>
          <w:iCs/>
          <w:spacing w:val="-6"/>
          <w:highlight w:val="lightGray"/>
        </w:rPr>
        <w:t xml:space="preserve"> МГРП с применением ГНКТ.</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Согласие с условиями типового договора.</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Соблюдение политики Общества в области промышленной безопасности, охраны труда и окружающей среды.</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Соблюдение требований в области промышленной и пожарной безопасности, охраны труда и окружающей среды к организ</w:t>
      </w:r>
      <w:r w:rsidR="003C7285" w:rsidRPr="007E57A5">
        <w:rPr>
          <w:iCs/>
          <w:spacing w:val="-6"/>
          <w:highlight w:val="lightGray"/>
        </w:rPr>
        <w:t xml:space="preserve">ациям, привлекаемым к работам </w:t>
      </w:r>
      <w:r w:rsidRPr="007E57A5">
        <w:rPr>
          <w:iCs/>
          <w:spacing w:val="-6"/>
          <w:highlight w:val="lightGray"/>
        </w:rPr>
        <w:t>на объектах Общества.</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Соблюдение и выполнение стандартов ОАО « СН-МНГ» в области ремонта скважин.</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Производственная деятельность в соответствии с нормативными и регламентирующими документами Заказчика.</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Заказчик оставляет за собой право передислокации флотов ГНКТ на любое месторождение ОАО «Славнефть-Мегионнефтегаз»».</w:t>
      </w:r>
    </w:p>
    <w:p w:rsidR="00427411" w:rsidRPr="007E57A5" w:rsidRDefault="00427411" w:rsidP="009873DF">
      <w:pPr>
        <w:numPr>
          <w:ilvl w:val="1"/>
          <w:numId w:val="6"/>
        </w:numPr>
        <w:autoSpaceDE w:val="0"/>
        <w:autoSpaceDN w:val="0"/>
        <w:adjustRightInd w:val="0"/>
        <w:ind w:left="0" w:firstLine="567"/>
        <w:jc w:val="both"/>
        <w:rPr>
          <w:iCs/>
          <w:spacing w:val="-6"/>
          <w:highlight w:val="lightGray"/>
        </w:rPr>
      </w:pPr>
      <w:r w:rsidRPr="007E57A5">
        <w:rPr>
          <w:iCs/>
          <w:spacing w:val="-6"/>
          <w:highlight w:val="lightGray"/>
        </w:rPr>
        <w:t>Подрядчик не имеет право передислоцировать флоты ГНКТ для работы в другой Компании, не согласовав передислокацию с Заказчиком.</w:t>
      </w:r>
    </w:p>
    <w:p w:rsidR="00427411" w:rsidRPr="007E57A5" w:rsidRDefault="00427411" w:rsidP="009873DF">
      <w:pPr>
        <w:numPr>
          <w:ilvl w:val="1"/>
          <w:numId w:val="6"/>
        </w:numPr>
        <w:autoSpaceDE w:val="0"/>
        <w:autoSpaceDN w:val="0"/>
        <w:adjustRightInd w:val="0"/>
        <w:ind w:left="0" w:firstLine="567"/>
        <w:jc w:val="both"/>
        <w:rPr>
          <w:iCs/>
          <w:spacing w:val="-6"/>
          <w:highlight w:val="lightGray"/>
        </w:rPr>
      </w:pPr>
      <w:r w:rsidRPr="007E57A5">
        <w:rPr>
          <w:iCs/>
          <w:spacing w:val="-6"/>
          <w:highlight w:val="lightGray"/>
        </w:rPr>
        <w:t>Переезд комплекса ГНКТ на расстояние до 300 км</w:t>
      </w:r>
      <w:r w:rsidR="001D534E" w:rsidRPr="007E57A5">
        <w:rPr>
          <w:iCs/>
          <w:spacing w:val="-6"/>
          <w:highlight w:val="lightGray"/>
        </w:rPr>
        <w:t>,</w:t>
      </w:r>
      <w:r w:rsidRPr="007E57A5">
        <w:rPr>
          <w:iCs/>
          <w:spacing w:val="-6"/>
          <w:highlight w:val="lightGray"/>
        </w:rPr>
        <w:t xml:space="preserve"> не должен превышать 1 сутки.</w:t>
      </w:r>
    </w:p>
    <w:p w:rsidR="00842371" w:rsidRPr="007E57A5" w:rsidRDefault="00427411" w:rsidP="009873DF">
      <w:pPr>
        <w:numPr>
          <w:ilvl w:val="1"/>
          <w:numId w:val="6"/>
        </w:numPr>
        <w:autoSpaceDE w:val="0"/>
        <w:autoSpaceDN w:val="0"/>
        <w:adjustRightInd w:val="0"/>
        <w:ind w:left="0" w:firstLine="567"/>
        <w:jc w:val="both"/>
        <w:rPr>
          <w:iCs/>
          <w:spacing w:val="-6"/>
          <w:highlight w:val="lightGray"/>
        </w:rPr>
      </w:pPr>
      <w:r w:rsidRPr="007E57A5">
        <w:rPr>
          <w:iCs/>
          <w:spacing w:val="-6"/>
          <w:highlight w:val="lightGray"/>
        </w:rPr>
        <w:t xml:space="preserve">Техническое оснащение и персонал комплекса ГНКТ должно соответствовать требованиям оснащенности и состава флота ГНКТ Заказчика. </w:t>
      </w:r>
    </w:p>
    <w:p w:rsidR="00427411" w:rsidRPr="007E57A5" w:rsidRDefault="00427411" w:rsidP="009873DF">
      <w:pPr>
        <w:numPr>
          <w:ilvl w:val="1"/>
          <w:numId w:val="6"/>
        </w:numPr>
        <w:autoSpaceDE w:val="0"/>
        <w:autoSpaceDN w:val="0"/>
        <w:adjustRightInd w:val="0"/>
        <w:ind w:left="0" w:firstLine="567"/>
        <w:jc w:val="both"/>
        <w:rPr>
          <w:iCs/>
          <w:spacing w:val="-6"/>
          <w:highlight w:val="lightGray"/>
        </w:rPr>
      </w:pPr>
      <w:r w:rsidRPr="007E57A5">
        <w:rPr>
          <w:iCs/>
          <w:spacing w:val="-6"/>
          <w:highlight w:val="lightGray"/>
        </w:rPr>
        <w:t xml:space="preserve">100% обеспечение технологического процесса (в т.ч. в </w:t>
      </w:r>
      <w:r w:rsidR="00842371" w:rsidRPr="007E57A5">
        <w:rPr>
          <w:iCs/>
          <w:spacing w:val="-6"/>
          <w:highlight w:val="lightGray"/>
        </w:rPr>
        <w:t>условиях автономии) по собствен</w:t>
      </w:r>
      <w:r w:rsidRPr="007E57A5">
        <w:rPr>
          <w:iCs/>
          <w:spacing w:val="-6"/>
          <w:highlight w:val="lightGray"/>
        </w:rPr>
        <w:t>ным договорам:</w:t>
      </w:r>
    </w:p>
    <w:p w:rsidR="00427411" w:rsidRPr="007E57A5" w:rsidRDefault="00427411" w:rsidP="00427411">
      <w:pPr>
        <w:autoSpaceDE w:val="0"/>
        <w:autoSpaceDN w:val="0"/>
        <w:adjustRightInd w:val="0"/>
        <w:ind w:firstLine="709"/>
        <w:jc w:val="both"/>
        <w:rPr>
          <w:iCs/>
          <w:spacing w:val="-6"/>
          <w:highlight w:val="lightGray"/>
        </w:rPr>
      </w:pPr>
      <w:r w:rsidRPr="007E57A5">
        <w:rPr>
          <w:iCs/>
          <w:spacing w:val="-6"/>
          <w:highlight w:val="lightGray"/>
        </w:rPr>
        <w:t>Обеспечение обор</w:t>
      </w:r>
      <w:r w:rsidR="00842371" w:rsidRPr="007E57A5">
        <w:rPr>
          <w:iCs/>
          <w:spacing w:val="-6"/>
          <w:highlight w:val="lightGray"/>
        </w:rPr>
        <w:t>удованием, спецтранспортом</w:t>
      </w:r>
      <w:r w:rsidRPr="007E57A5">
        <w:rPr>
          <w:iCs/>
          <w:spacing w:val="-6"/>
          <w:highlight w:val="lightGray"/>
        </w:rPr>
        <w:t>;</w:t>
      </w:r>
    </w:p>
    <w:p w:rsidR="00427411" w:rsidRPr="007E57A5" w:rsidRDefault="00427411" w:rsidP="00427411">
      <w:pPr>
        <w:autoSpaceDE w:val="0"/>
        <w:autoSpaceDN w:val="0"/>
        <w:adjustRightInd w:val="0"/>
        <w:ind w:firstLine="709"/>
        <w:jc w:val="both"/>
        <w:rPr>
          <w:iCs/>
          <w:spacing w:val="-6"/>
          <w:highlight w:val="lightGray"/>
        </w:rPr>
      </w:pPr>
      <w:r w:rsidRPr="007E57A5">
        <w:rPr>
          <w:iCs/>
          <w:spacing w:val="-6"/>
          <w:highlight w:val="lightGray"/>
        </w:rPr>
        <w:lastRenderedPageBreak/>
        <w:t>Подключение и отключение к источнику электроэнергии;</w:t>
      </w:r>
    </w:p>
    <w:p w:rsidR="00427411" w:rsidRPr="007E57A5" w:rsidRDefault="00427411" w:rsidP="00427411">
      <w:pPr>
        <w:autoSpaceDE w:val="0"/>
        <w:autoSpaceDN w:val="0"/>
        <w:adjustRightInd w:val="0"/>
        <w:ind w:firstLine="709"/>
        <w:jc w:val="both"/>
        <w:rPr>
          <w:iCs/>
          <w:spacing w:val="-6"/>
          <w:highlight w:val="lightGray"/>
        </w:rPr>
      </w:pPr>
      <w:r w:rsidRPr="007E57A5">
        <w:rPr>
          <w:iCs/>
          <w:spacing w:val="-6"/>
          <w:highlight w:val="lightGray"/>
        </w:rPr>
        <w:t>Авиа и речные перевозки (при необходимости);</w:t>
      </w:r>
    </w:p>
    <w:p w:rsidR="00427411" w:rsidRPr="007E57A5" w:rsidRDefault="00427411" w:rsidP="00427411">
      <w:pPr>
        <w:autoSpaceDE w:val="0"/>
        <w:autoSpaceDN w:val="0"/>
        <w:adjustRightInd w:val="0"/>
        <w:ind w:firstLine="709"/>
        <w:jc w:val="both"/>
        <w:rPr>
          <w:iCs/>
          <w:spacing w:val="-6"/>
          <w:highlight w:val="lightGray"/>
        </w:rPr>
      </w:pPr>
      <w:r w:rsidRPr="007E57A5">
        <w:rPr>
          <w:iCs/>
          <w:spacing w:val="-6"/>
          <w:highlight w:val="lightGray"/>
        </w:rPr>
        <w:t>Проживание в общежитиях;</w:t>
      </w:r>
    </w:p>
    <w:p w:rsidR="00427411" w:rsidRPr="007E57A5" w:rsidRDefault="00427411" w:rsidP="00427411">
      <w:pPr>
        <w:autoSpaceDE w:val="0"/>
        <w:autoSpaceDN w:val="0"/>
        <w:adjustRightInd w:val="0"/>
        <w:ind w:left="709"/>
        <w:jc w:val="both"/>
        <w:rPr>
          <w:iCs/>
          <w:spacing w:val="-6"/>
          <w:highlight w:val="lightGray"/>
        </w:rPr>
      </w:pPr>
      <w:r w:rsidRPr="007E57A5">
        <w:rPr>
          <w:iCs/>
          <w:spacing w:val="-6"/>
          <w:highlight w:val="lightGray"/>
        </w:rPr>
        <w:t>Поставка азота, технологической жидкости промывки и глушения, блок-пачек, других реагентов;</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Предусмотреть затраты за счет Подрядчика (в т.ч. в условиях автономии):</w:t>
      </w:r>
    </w:p>
    <w:p w:rsidR="00427411" w:rsidRPr="007E57A5" w:rsidRDefault="00427411" w:rsidP="00427411">
      <w:pPr>
        <w:autoSpaceDE w:val="0"/>
        <w:autoSpaceDN w:val="0"/>
        <w:adjustRightInd w:val="0"/>
        <w:ind w:firstLine="709"/>
        <w:jc w:val="both"/>
        <w:rPr>
          <w:iCs/>
          <w:spacing w:val="-6"/>
          <w:highlight w:val="lightGray"/>
        </w:rPr>
      </w:pPr>
      <w:r w:rsidRPr="007E57A5">
        <w:rPr>
          <w:iCs/>
          <w:spacing w:val="-6"/>
          <w:highlight w:val="lightGray"/>
        </w:rPr>
        <w:t>Проживание на месторождениях; Питание;</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Доставка материалов, оборудования до рабочего места (д</w:t>
      </w:r>
      <w:r w:rsidR="00842371" w:rsidRPr="007E57A5">
        <w:rPr>
          <w:iCs/>
          <w:spacing w:val="-6"/>
          <w:highlight w:val="lightGray"/>
        </w:rPr>
        <w:t>ислокация), их размещение и хра</w:t>
      </w:r>
      <w:r w:rsidRPr="007E57A5">
        <w:rPr>
          <w:iCs/>
          <w:spacing w:val="-6"/>
          <w:highlight w:val="lightGray"/>
        </w:rPr>
        <w:t>нение;</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Доставка бытовых отходов, до места утилизации;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Ликвидация браков, аварий по вине Подрядчика;</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Вывоз отходов производства (гель, проппант, нефтешлам) к месту утилизации;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Подключение, отключение к источнику электроэнергии.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Обеспечить смену вахт на раб</w:t>
      </w:r>
      <w:r w:rsidR="00842371" w:rsidRPr="007E57A5">
        <w:rPr>
          <w:iCs/>
          <w:spacing w:val="-6"/>
          <w:highlight w:val="lightGray"/>
        </w:rPr>
        <w:t>очей площадке, перевахтовку</w:t>
      </w:r>
      <w:r w:rsidRPr="007E57A5">
        <w:rPr>
          <w:iCs/>
          <w:spacing w:val="-6"/>
          <w:highlight w:val="lightGray"/>
        </w:rPr>
        <w:t xml:space="preserve"> на объекте ра</w:t>
      </w:r>
      <w:r w:rsidR="00842371" w:rsidRPr="007E57A5">
        <w:rPr>
          <w:iCs/>
          <w:spacing w:val="-6"/>
          <w:highlight w:val="lightGray"/>
        </w:rPr>
        <w:t>бот при про</w:t>
      </w:r>
      <w:r w:rsidRPr="007E57A5">
        <w:rPr>
          <w:iCs/>
          <w:spacing w:val="-6"/>
          <w:highlight w:val="lightGray"/>
        </w:rPr>
        <w:t xml:space="preserve">ведении непрерывных технологических операций. </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Организация круглосуточных переездов флотов ГНКТ.</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Полная материальная ответственность за порчу оборудов</w:t>
      </w:r>
      <w:r w:rsidR="00842371" w:rsidRPr="007E57A5">
        <w:rPr>
          <w:iCs/>
          <w:spacing w:val="-6"/>
          <w:highlight w:val="lightGray"/>
        </w:rPr>
        <w:t>ания и материалов Заказчика, до</w:t>
      </w:r>
      <w:r w:rsidRPr="007E57A5">
        <w:rPr>
          <w:iCs/>
          <w:spacing w:val="-6"/>
          <w:highlight w:val="lightGray"/>
        </w:rPr>
        <w:t>пущенные аварии, осложнения и браки.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Обеспечение фирменной спецодеждой с логотипом собственной компании.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Наличие в каждом флоте ГНКТ мобильного газоанализатора. Ме</w:t>
      </w:r>
      <w:r w:rsidR="00842371" w:rsidRPr="007E57A5">
        <w:rPr>
          <w:iCs/>
          <w:spacing w:val="-6"/>
          <w:highlight w:val="lightGray"/>
        </w:rPr>
        <w:t>сто замера загазованности и пери</w:t>
      </w:r>
      <w:r w:rsidRPr="007E57A5">
        <w:rPr>
          <w:iCs/>
          <w:spacing w:val="-6"/>
          <w:highlight w:val="lightGray"/>
        </w:rPr>
        <w:t>одичность замера указывается в плане работ.</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Наличие на всех единицах СПТ, работающей непосредс</w:t>
      </w:r>
      <w:r w:rsidR="00842371" w:rsidRPr="007E57A5">
        <w:rPr>
          <w:iCs/>
          <w:spacing w:val="-6"/>
          <w:highlight w:val="lightGray"/>
        </w:rPr>
        <w:t>твенно на кустовой площадке воздушного клап</w:t>
      </w:r>
      <w:r w:rsidRPr="007E57A5">
        <w:rPr>
          <w:iCs/>
          <w:spacing w:val="-6"/>
          <w:highlight w:val="lightGray"/>
        </w:rPr>
        <w:t xml:space="preserve">ана-отсекателя аварийного глушения ДВС. </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При производстве работ по разбуриванию пор</w:t>
      </w:r>
      <w:r w:rsidR="00842371" w:rsidRPr="007E57A5">
        <w:rPr>
          <w:iCs/>
          <w:spacing w:val="-6"/>
          <w:highlight w:val="lightGray"/>
        </w:rPr>
        <w:t>тов МГРП</w:t>
      </w:r>
      <w:r w:rsidRPr="007E57A5">
        <w:rPr>
          <w:iCs/>
          <w:spacing w:val="-6"/>
          <w:highlight w:val="lightGray"/>
        </w:rPr>
        <w:t xml:space="preserve"> на скважинах с длиной горизонтального участка более 1000м. иметь в наличии ГТ</w:t>
      </w:r>
      <w:r w:rsidR="00842371" w:rsidRPr="007E57A5">
        <w:rPr>
          <w:iCs/>
          <w:spacing w:val="-6"/>
          <w:highlight w:val="lightGray"/>
        </w:rPr>
        <w:t xml:space="preserve"> диаметром не менее 44 мм</w:t>
      </w:r>
      <w:r w:rsidRPr="007E57A5">
        <w:rPr>
          <w:iCs/>
          <w:spacing w:val="-6"/>
          <w:highlight w:val="lightGray"/>
        </w:rPr>
        <w:t>.</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Наличие дополнительного (запасного) флота ГНКТ для исключения случаев простоя по причине выхода из строя основного флота. Доставка запасной катушки для замены в течени</w:t>
      </w:r>
      <w:r w:rsidR="00842371" w:rsidRPr="007E57A5">
        <w:rPr>
          <w:iCs/>
          <w:spacing w:val="-6"/>
          <w:highlight w:val="lightGray"/>
        </w:rPr>
        <w:t>е</w:t>
      </w:r>
      <w:r w:rsidRPr="007E57A5">
        <w:rPr>
          <w:iCs/>
          <w:spacing w:val="-6"/>
          <w:highlight w:val="lightGray"/>
        </w:rPr>
        <w:t xml:space="preserve"> 24 часов.</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Установки ГНКТ должны быть оборудованы и оснащены следующими контрольно-измерительными системами контроля и регистрации:</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Нагрузок возникающих при спускоподъемных операциях;</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Глубины спуска;</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Наработки гибкой трубы;</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Давления при прокачивании через гибкую трубу жидкостей в процессе технологических операций;</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Давления на устье скважины;</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Расхода промывочной жидкости;</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Расход закачиваемого азота;</w:t>
      </w:r>
    </w:p>
    <w:p w:rsidR="00427411" w:rsidRPr="007E57A5" w:rsidRDefault="00427411" w:rsidP="00842371">
      <w:pPr>
        <w:numPr>
          <w:ilvl w:val="0"/>
          <w:numId w:val="30"/>
        </w:numPr>
        <w:autoSpaceDE w:val="0"/>
        <w:autoSpaceDN w:val="0"/>
        <w:adjustRightInd w:val="0"/>
        <w:jc w:val="both"/>
        <w:rPr>
          <w:iCs/>
          <w:spacing w:val="-6"/>
          <w:highlight w:val="lightGray"/>
        </w:rPr>
      </w:pPr>
      <w:r w:rsidRPr="007E57A5">
        <w:rPr>
          <w:iCs/>
          <w:spacing w:val="-6"/>
          <w:highlight w:val="lightGray"/>
        </w:rPr>
        <w:t>Автоматического отключения привода в случае превышения допустимых нагрузок;</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Наличие технологий, позволяющих при применении химреагентов и спец оборудовании повысить эффективность проводимых работ: понизители трения, разрушители корок, пены, кислоты и др.</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Обязательное наличие электронной связи с Заказчиком.</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Обязательное наличие на объектах деятельности при выполнении работ телефонной связи совместимой со связью</w:t>
      </w:r>
      <w:r w:rsidR="00842371" w:rsidRPr="007E57A5">
        <w:rPr>
          <w:iCs/>
          <w:spacing w:val="-6"/>
          <w:highlight w:val="lightGray"/>
        </w:rPr>
        <w:t>,</w:t>
      </w:r>
      <w:r w:rsidRPr="007E57A5">
        <w:rPr>
          <w:iCs/>
          <w:spacing w:val="-6"/>
          <w:highlight w:val="lightGray"/>
        </w:rPr>
        <w:t xml:space="preserve"> используемой в </w:t>
      </w:r>
      <w:r w:rsidR="00842371" w:rsidRPr="007E57A5">
        <w:rPr>
          <w:iCs/>
          <w:spacing w:val="-6"/>
          <w:highlight w:val="lightGray"/>
        </w:rPr>
        <w:t>ОАО «СН-МНГ»</w:t>
      </w:r>
      <w:r w:rsidRPr="007E57A5">
        <w:rPr>
          <w:iCs/>
          <w:spacing w:val="-6"/>
          <w:highlight w:val="lightGray"/>
        </w:rPr>
        <w:t xml:space="preserve">. Наличие усилителей сотовой связи на </w:t>
      </w:r>
      <w:r w:rsidR="00842371" w:rsidRPr="007E57A5">
        <w:rPr>
          <w:iCs/>
          <w:spacing w:val="-6"/>
          <w:highlight w:val="lightGray"/>
        </w:rPr>
        <w:t>отдалённых</w:t>
      </w:r>
      <w:r w:rsidRPr="007E57A5">
        <w:rPr>
          <w:iCs/>
          <w:spacing w:val="-6"/>
          <w:highlight w:val="lightGray"/>
        </w:rPr>
        <w:t xml:space="preserve"> месторождениях.</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 xml:space="preserve">Передача сводок в формате установленном </w:t>
      </w:r>
      <w:r w:rsidR="00842371" w:rsidRPr="007E57A5">
        <w:rPr>
          <w:iCs/>
          <w:spacing w:val="-6"/>
          <w:highlight w:val="lightGray"/>
        </w:rPr>
        <w:t>Заказчиком</w:t>
      </w:r>
      <w:r w:rsidRPr="007E57A5">
        <w:rPr>
          <w:iCs/>
          <w:spacing w:val="-6"/>
          <w:highlight w:val="lightGray"/>
        </w:rPr>
        <w:t>.</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 xml:space="preserve">Предоставление первичной отчетности </w:t>
      </w:r>
      <w:r w:rsidR="00842371" w:rsidRPr="007E57A5">
        <w:rPr>
          <w:iCs/>
          <w:spacing w:val="-6"/>
          <w:highlight w:val="lightGray"/>
        </w:rPr>
        <w:t>службе супервайзинга Заказчика</w:t>
      </w:r>
      <w:r w:rsidRPr="007E57A5">
        <w:rPr>
          <w:iCs/>
          <w:spacing w:val="-6"/>
          <w:highlight w:val="lightGray"/>
        </w:rPr>
        <w:t xml:space="preserve"> в течении 48 часов после закрытия скважины.</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Проведение сложных и ответственных операций только под руководством ИТР с указанием конкретного ответственного лица в плане работ. Обеспечение ИТР мобильными телефонами.</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lastRenderedPageBreak/>
        <w:t>Обязательное присутствие в каждом флоте мастера и ин</w:t>
      </w:r>
      <w:r w:rsidR="00842371" w:rsidRPr="007E57A5">
        <w:rPr>
          <w:iCs/>
          <w:spacing w:val="-6"/>
          <w:highlight w:val="lightGray"/>
        </w:rPr>
        <w:t>женера (ИТР в круглосуточном ре</w:t>
      </w:r>
      <w:r w:rsidRPr="007E57A5">
        <w:rPr>
          <w:iCs/>
          <w:spacing w:val="-6"/>
          <w:highlight w:val="lightGray"/>
        </w:rPr>
        <w:t>жиме).</w:t>
      </w:r>
    </w:p>
    <w:p w:rsidR="00427411" w:rsidRPr="007E57A5" w:rsidRDefault="0084237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Проведение экспресс-</w:t>
      </w:r>
      <w:r w:rsidR="00427411" w:rsidRPr="007E57A5">
        <w:rPr>
          <w:iCs/>
          <w:spacing w:val="-6"/>
          <w:highlight w:val="lightGray"/>
        </w:rPr>
        <w:t>анализа</w:t>
      </w:r>
      <w:r w:rsidRPr="007E57A5">
        <w:rPr>
          <w:iCs/>
          <w:spacing w:val="-6"/>
          <w:highlight w:val="lightGray"/>
        </w:rPr>
        <w:t>,</w:t>
      </w:r>
      <w:r w:rsidR="00427411" w:rsidRPr="007E57A5">
        <w:rPr>
          <w:iCs/>
          <w:spacing w:val="-6"/>
          <w:highlight w:val="lightGray"/>
        </w:rPr>
        <w:t xml:space="preserve"> получаемой из скважины жидкости на содержание КВЧ.</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Предъявление по требованию Заказчика данных инструментального контроля</w:t>
      </w:r>
      <w:r w:rsidR="000B65BC" w:rsidRPr="007E57A5">
        <w:rPr>
          <w:iCs/>
          <w:spacing w:val="-6"/>
          <w:highlight w:val="lightGray"/>
        </w:rPr>
        <w:t xml:space="preserve"> (акты дефектоскопии</w:t>
      </w:r>
      <w:r w:rsidR="001722DC" w:rsidRPr="007E57A5">
        <w:rPr>
          <w:iCs/>
          <w:spacing w:val="-6"/>
          <w:highlight w:val="lightGray"/>
        </w:rPr>
        <w:t xml:space="preserve"> оборудования</w:t>
      </w:r>
      <w:r w:rsidR="000B65BC" w:rsidRPr="007E57A5">
        <w:rPr>
          <w:iCs/>
          <w:spacing w:val="-6"/>
          <w:highlight w:val="lightGray"/>
        </w:rPr>
        <w:t>)</w:t>
      </w:r>
      <w:r w:rsidRPr="007E57A5">
        <w:rPr>
          <w:iCs/>
          <w:spacing w:val="-6"/>
          <w:highlight w:val="lightGray"/>
        </w:rPr>
        <w:t>.</w:t>
      </w:r>
    </w:p>
    <w:p w:rsidR="00427411" w:rsidRPr="007E57A5" w:rsidRDefault="00427411" w:rsidP="00427411">
      <w:pPr>
        <w:numPr>
          <w:ilvl w:val="1"/>
          <w:numId w:val="6"/>
        </w:numPr>
        <w:autoSpaceDE w:val="0"/>
        <w:autoSpaceDN w:val="0"/>
        <w:adjustRightInd w:val="0"/>
        <w:ind w:left="0" w:firstLine="0"/>
        <w:jc w:val="both"/>
        <w:rPr>
          <w:iCs/>
          <w:spacing w:val="-6"/>
          <w:highlight w:val="lightGray"/>
        </w:rPr>
      </w:pPr>
      <w:r w:rsidRPr="007E57A5">
        <w:rPr>
          <w:iCs/>
          <w:spacing w:val="-6"/>
          <w:highlight w:val="lightGray"/>
        </w:rPr>
        <w:t>Ответственность перед Заказчиком за действия или безд</w:t>
      </w:r>
      <w:r w:rsidR="00842371" w:rsidRPr="007E57A5">
        <w:rPr>
          <w:iCs/>
          <w:spacing w:val="-6"/>
          <w:highlight w:val="lightGray"/>
        </w:rPr>
        <w:t>ействия третьей стороны (субпод</w:t>
      </w:r>
      <w:r w:rsidRPr="007E57A5">
        <w:rPr>
          <w:iCs/>
          <w:spacing w:val="-6"/>
          <w:highlight w:val="lightGray"/>
        </w:rPr>
        <w:t>рядчиков).</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 xml:space="preserve">Расценки </w:t>
      </w:r>
      <w:r w:rsidR="007346B0" w:rsidRPr="007E57A5">
        <w:rPr>
          <w:iCs/>
          <w:spacing w:val="-6"/>
          <w:highlight w:val="lightGray"/>
        </w:rPr>
        <w:t xml:space="preserve">на выполнение скважино-операций </w:t>
      </w:r>
      <w:r w:rsidRPr="007E57A5">
        <w:rPr>
          <w:iCs/>
          <w:spacing w:val="-6"/>
          <w:highlight w:val="lightGray"/>
        </w:rPr>
        <w:t>не изменяются до конца срока действия договора</w:t>
      </w:r>
      <w:r w:rsidR="00842371" w:rsidRPr="007E57A5">
        <w:rPr>
          <w:iCs/>
          <w:spacing w:val="-6"/>
          <w:highlight w:val="lightGray"/>
        </w:rPr>
        <w:t>.</w:t>
      </w:r>
    </w:p>
    <w:p w:rsidR="009873DF" w:rsidRPr="007E57A5" w:rsidRDefault="00842371" w:rsidP="009873DF">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 xml:space="preserve">Периодом выполнения </w:t>
      </w:r>
      <w:r w:rsidR="00427411" w:rsidRPr="007E57A5">
        <w:rPr>
          <w:iCs/>
          <w:spacing w:val="-6"/>
          <w:highlight w:val="lightGray"/>
        </w:rPr>
        <w:t>работы считать момент от открытия центральной задвижки на скважине для спуска гибкой трубы и до момента закрытия центральной задвижки на скважине, после подъ</w:t>
      </w:r>
      <w:r w:rsidRPr="007E57A5">
        <w:rPr>
          <w:iCs/>
          <w:spacing w:val="-6"/>
          <w:highlight w:val="lightGray"/>
        </w:rPr>
        <w:t>ё</w:t>
      </w:r>
      <w:r w:rsidR="00427411" w:rsidRPr="007E57A5">
        <w:rPr>
          <w:iCs/>
          <w:spacing w:val="-6"/>
          <w:highlight w:val="lightGray"/>
        </w:rPr>
        <w:t>ма гибкой трубы.</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 xml:space="preserve">Затраты на транспортные услуги оплачиваются только при переезде флота ГНКТ с одного места работы на другое на расстояние более </w:t>
      </w:r>
      <w:r w:rsidR="007346B0" w:rsidRPr="007E57A5">
        <w:rPr>
          <w:iCs/>
          <w:spacing w:val="-6"/>
          <w:highlight w:val="lightGray"/>
        </w:rPr>
        <w:t>65</w:t>
      </w:r>
      <w:r w:rsidRPr="007E57A5">
        <w:rPr>
          <w:iCs/>
          <w:spacing w:val="-6"/>
          <w:highlight w:val="lightGray"/>
        </w:rPr>
        <w:t xml:space="preserve"> км. Перевозка персонала, ГСМ, промывочных жидкостей, азота осуществляются за счет Подрядчика.</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Транспортные расходы на доставку жидкого азота входят в стоимость азота.</w:t>
      </w:r>
    </w:p>
    <w:p w:rsidR="00427411" w:rsidRPr="007E57A5" w:rsidRDefault="00427411" w:rsidP="00427411">
      <w:pPr>
        <w:numPr>
          <w:ilvl w:val="1"/>
          <w:numId w:val="6"/>
        </w:numPr>
        <w:autoSpaceDE w:val="0"/>
        <w:autoSpaceDN w:val="0"/>
        <w:adjustRightInd w:val="0"/>
        <w:ind w:left="0" w:firstLine="709"/>
        <w:jc w:val="both"/>
        <w:rPr>
          <w:iCs/>
          <w:spacing w:val="-6"/>
          <w:highlight w:val="lightGray"/>
        </w:rPr>
      </w:pPr>
      <w:r w:rsidRPr="007E57A5">
        <w:rPr>
          <w:iCs/>
          <w:spacing w:val="-6"/>
          <w:highlight w:val="lightGray"/>
        </w:rPr>
        <w:t>При работе с химическими реагентами на объектах Зака</w:t>
      </w:r>
      <w:r w:rsidR="007346B0" w:rsidRPr="007E57A5">
        <w:rPr>
          <w:iCs/>
          <w:spacing w:val="-6"/>
          <w:highlight w:val="lightGray"/>
        </w:rPr>
        <w:t>зчика руководствоваться и выпол</w:t>
      </w:r>
      <w:r w:rsidRPr="007E57A5">
        <w:rPr>
          <w:iCs/>
          <w:spacing w:val="-6"/>
          <w:highlight w:val="lightGray"/>
        </w:rPr>
        <w:t>нять требования государственных регламентирующих документо</w:t>
      </w:r>
      <w:r w:rsidR="007346B0" w:rsidRPr="007E57A5">
        <w:rPr>
          <w:iCs/>
          <w:spacing w:val="-6"/>
          <w:highlight w:val="lightGray"/>
        </w:rPr>
        <w:t>в действующих в РФ. В обязатель</w:t>
      </w:r>
      <w:r w:rsidRPr="007E57A5">
        <w:rPr>
          <w:iCs/>
          <w:spacing w:val="-6"/>
          <w:highlight w:val="lightGray"/>
        </w:rPr>
        <w:t>ном порядке иметь разрешительные документы на оговоренные в договорах химические реагенты применяемые при работах ГНКТ.</w:t>
      </w:r>
    </w:p>
    <w:p w:rsidR="006801D8" w:rsidRPr="007E57A5" w:rsidRDefault="00427411" w:rsidP="007346B0">
      <w:pPr>
        <w:numPr>
          <w:ilvl w:val="1"/>
          <w:numId w:val="6"/>
        </w:numPr>
        <w:autoSpaceDE w:val="0"/>
        <w:autoSpaceDN w:val="0"/>
        <w:adjustRightInd w:val="0"/>
        <w:ind w:left="0" w:firstLine="709"/>
        <w:jc w:val="both"/>
        <w:rPr>
          <w:bCs/>
          <w:highlight w:val="lightGray"/>
        </w:rPr>
      </w:pPr>
      <w:r w:rsidRPr="007E57A5">
        <w:rPr>
          <w:iCs/>
          <w:spacing w:val="-6"/>
          <w:highlight w:val="lightGray"/>
        </w:rPr>
        <w:t>Заказчик оставляет за собой право уменьшить или увеличить объемы работ по договору в случае производственной необходимости (отсутствия простаивающего фонда, сокращения программы ГТМ).</w:t>
      </w:r>
    </w:p>
    <w:p w:rsidR="006801D8" w:rsidRPr="007E57A5" w:rsidRDefault="006801D8" w:rsidP="007346B0">
      <w:pPr>
        <w:numPr>
          <w:ilvl w:val="1"/>
          <w:numId w:val="6"/>
        </w:numPr>
        <w:autoSpaceDE w:val="0"/>
        <w:autoSpaceDN w:val="0"/>
        <w:adjustRightInd w:val="0"/>
        <w:ind w:left="0" w:firstLine="709"/>
        <w:jc w:val="both"/>
        <w:rPr>
          <w:bCs/>
          <w:highlight w:val="lightGray"/>
        </w:rPr>
      </w:pPr>
      <w:r w:rsidRPr="007E57A5">
        <w:rPr>
          <w:bCs/>
          <w:highlight w:val="lightGray"/>
        </w:rPr>
        <w:t>Сбор, транспортировка, размещение, утилизация и захоронение любых отходов производства и потребления осуществляется за счет Подрядчика (обязательно наличие лицензии на сбор, транспортировку и размещение опасных отходов).</w:t>
      </w:r>
    </w:p>
    <w:p w:rsidR="006801D8" w:rsidRPr="007E57A5" w:rsidRDefault="006801D8" w:rsidP="007346B0">
      <w:pPr>
        <w:numPr>
          <w:ilvl w:val="1"/>
          <w:numId w:val="6"/>
        </w:numPr>
        <w:autoSpaceDE w:val="0"/>
        <w:autoSpaceDN w:val="0"/>
        <w:adjustRightInd w:val="0"/>
        <w:ind w:left="0" w:firstLine="709"/>
        <w:jc w:val="both"/>
        <w:rPr>
          <w:bCs/>
          <w:highlight w:val="lightGray"/>
        </w:rPr>
      </w:pPr>
      <w:r w:rsidRPr="007E57A5">
        <w:rPr>
          <w:bCs/>
          <w:highlight w:val="lightGray"/>
        </w:rPr>
        <w:t>Подрядчик самостоятельно перечисляет платежи за негативное воздействие на окружающую природную среду.</w:t>
      </w:r>
    </w:p>
    <w:p w:rsidR="006801D8" w:rsidRPr="007E57A5" w:rsidRDefault="006801D8" w:rsidP="007346B0">
      <w:pPr>
        <w:numPr>
          <w:ilvl w:val="1"/>
          <w:numId w:val="6"/>
        </w:numPr>
        <w:autoSpaceDE w:val="0"/>
        <w:autoSpaceDN w:val="0"/>
        <w:adjustRightInd w:val="0"/>
        <w:ind w:left="0" w:firstLine="709"/>
        <w:jc w:val="both"/>
        <w:rPr>
          <w:bCs/>
          <w:highlight w:val="lightGray"/>
        </w:rPr>
      </w:pPr>
      <w:r w:rsidRPr="007E57A5">
        <w:rPr>
          <w:bCs/>
          <w:highlight w:val="lightGray"/>
        </w:rPr>
        <w:t xml:space="preserve">При составлении Плана работ Подрядчик обязан руководствоваться </w:t>
      </w:r>
      <w:r w:rsidR="00731B21" w:rsidRPr="007E57A5">
        <w:rPr>
          <w:bCs/>
          <w:highlight w:val="lightGray"/>
        </w:rPr>
        <w:t>Заявкой (</w:t>
      </w:r>
      <w:r w:rsidRPr="007E57A5">
        <w:rPr>
          <w:bCs/>
          <w:highlight w:val="lightGray"/>
        </w:rPr>
        <w:t>Наряд</w:t>
      </w:r>
      <w:r w:rsidR="00731B21" w:rsidRPr="007E57A5">
        <w:rPr>
          <w:bCs/>
          <w:highlight w:val="lightGray"/>
        </w:rPr>
        <w:t>-</w:t>
      </w:r>
      <w:r w:rsidRPr="007E57A5">
        <w:rPr>
          <w:bCs/>
          <w:highlight w:val="lightGray"/>
        </w:rPr>
        <w:t>заказом</w:t>
      </w:r>
      <w:r w:rsidR="00731B21" w:rsidRPr="007E57A5">
        <w:rPr>
          <w:bCs/>
          <w:highlight w:val="lightGray"/>
        </w:rPr>
        <w:t>)</w:t>
      </w:r>
      <w:r w:rsidRPr="007E57A5">
        <w:rPr>
          <w:bCs/>
          <w:highlight w:val="lightGray"/>
        </w:rPr>
        <w:t xml:space="preserve"> предоставленным Заказчиком.</w:t>
      </w:r>
    </w:p>
    <w:p w:rsidR="00FA2A3B" w:rsidRPr="007E57A5" w:rsidRDefault="00FA2A3B" w:rsidP="007346B0">
      <w:pPr>
        <w:numPr>
          <w:ilvl w:val="1"/>
          <w:numId w:val="6"/>
        </w:numPr>
        <w:autoSpaceDE w:val="0"/>
        <w:autoSpaceDN w:val="0"/>
        <w:adjustRightInd w:val="0"/>
        <w:ind w:left="0" w:firstLine="709"/>
        <w:jc w:val="both"/>
        <w:rPr>
          <w:bCs/>
          <w:highlight w:val="lightGray"/>
        </w:rPr>
      </w:pPr>
      <w:r w:rsidRPr="007E57A5">
        <w:rPr>
          <w:bCs/>
          <w:highlight w:val="lightGray"/>
        </w:rPr>
        <w:t xml:space="preserve">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w:t>
      </w:r>
      <w:r w:rsidR="006A0817" w:rsidRPr="007E57A5">
        <w:rPr>
          <w:bCs/>
          <w:highlight w:val="lightGray"/>
        </w:rPr>
        <w:t xml:space="preserve"> менее 400 000 (Ч</w:t>
      </w:r>
      <w:r w:rsidRPr="007E57A5">
        <w:rPr>
          <w:bCs/>
          <w:highlight w:val="lightGray"/>
        </w:rPr>
        <w:t>етырехсот тысяч) рублей, с включением в договор следующих рисков:</w:t>
      </w:r>
    </w:p>
    <w:p w:rsidR="00FA2A3B" w:rsidRPr="007E57A5" w:rsidRDefault="00FA2A3B" w:rsidP="00427411">
      <w:pPr>
        <w:autoSpaceDE w:val="0"/>
        <w:autoSpaceDN w:val="0"/>
        <w:adjustRightInd w:val="0"/>
        <w:jc w:val="both"/>
        <w:rPr>
          <w:bCs/>
          <w:highlight w:val="lightGray"/>
        </w:rPr>
      </w:pPr>
      <w:r w:rsidRPr="007E57A5">
        <w:rPr>
          <w:bCs/>
          <w:highlight w:val="lightGray"/>
        </w:rPr>
        <w:t>смерти в результате несчастного случая;</w:t>
      </w:r>
    </w:p>
    <w:p w:rsidR="00FA2A3B" w:rsidRPr="007E57A5" w:rsidRDefault="00FA2A3B" w:rsidP="00427411">
      <w:pPr>
        <w:autoSpaceDE w:val="0"/>
        <w:autoSpaceDN w:val="0"/>
        <w:adjustRightInd w:val="0"/>
        <w:jc w:val="both"/>
        <w:rPr>
          <w:bCs/>
          <w:highlight w:val="lightGray"/>
        </w:rPr>
      </w:pPr>
      <w:r w:rsidRPr="007E57A5">
        <w:rPr>
          <w:bCs/>
          <w:highlight w:val="lightGray"/>
        </w:rPr>
        <w:t>постоянной (полной) утраты трудоспособности в результате несчастного случая с установлением I, II, III, групп инвалидности.</w:t>
      </w:r>
    </w:p>
    <w:p w:rsidR="00FA2A3B" w:rsidRPr="007E57A5" w:rsidRDefault="00FA2A3B" w:rsidP="00427411">
      <w:pPr>
        <w:autoSpaceDE w:val="0"/>
        <w:autoSpaceDN w:val="0"/>
        <w:adjustRightInd w:val="0"/>
        <w:jc w:val="both"/>
        <w:rPr>
          <w:bCs/>
          <w:highlight w:val="lightGray"/>
        </w:rPr>
      </w:pPr>
      <w:r w:rsidRPr="007E57A5">
        <w:rPr>
          <w:bCs/>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6801D8" w:rsidRPr="007E57A5" w:rsidRDefault="006801D8" w:rsidP="00427411">
      <w:pPr>
        <w:autoSpaceDE w:val="0"/>
        <w:autoSpaceDN w:val="0"/>
        <w:adjustRightInd w:val="0"/>
        <w:jc w:val="both"/>
        <w:rPr>
          <w:bCs/>
          <w:highlight w:val="lightGray"/>
        </w:rPr>
      </w:pPr>
    </w:p>
    <w:p w:rsidR="006B7A15" w:rsidRPr="007E57A5" w:rsidRDefault="006B7A15" w:rsidP="00797FA2">
      <w:pPr>
        <w:pStyle w:val="3"/>
        <w:numPr>
          <w:ilvl w:val="0"/>
          <w:numId w:val="6"/>
        </w:numPr>
        <w:ind w:left="0" w:firstLine="709"/>
        <w:jc w:val="both"/>
        <w:rPr>
          <w:rStyle w:val="aa"/>
          <w:b/>
          <w:highlight w:val="lightGray"/>
        </w:rPr>
      </w:pPr>
      <w:r w:rsidRPr="007E57A5">
        <w:rPr>
          <w:rStyle w:val="aa"/>
          <w:highlight w:val="lightGray"/>
        </w:rPr>
        <w:t>С</w:t>
      </w:r>
      <w:r w:rsidRPr="007E57A5">
        <w:rPr>
          <w:rStyle w:val="aa"/>
          <w:b/>
          <w:highlight w:val="lightGray"/>
        </w:rPr>
        <w:t xml:space="preserve">тоимость </w:t>
      </w:r>
      <w:r w:rsidR="00731B21" w:rsidRPr="007E57A5">
        <w:rPr>
          <w:rStyle w:val="aa"/>
          <w:b/>
          <w:highlight w:val="lightGray"/>
        </w:rPr>
        <w:t xml:space="preserve">скважино-операции </w:t>
      </w:r>
      <w:r w:rsidRPr="007E57A5">
        <w:rPr>
          <w:rStyle w:val="aa"/>
          <w:b/>
          <w:highlight w:val="lightGray"/>
        </w:rPr>
        <w:t>дол</w:t>
      </w:r>
      <w:r w:rsidR="00356EB2" w:rsidRPr="007E57A5">
        <w:rPr>
          <w:rStyle w:val="aa"/>
          <w:b/>
          <w:highlight w:val="lightGray"/>
        </w:rPr>
        <w:t>жна включать затраты Подрядчика:</w:t>
      </w:r>
    </w:p>
    <w:p w:rsidR="00356EB2" w:rsidRPr="007E57A5" w:rsidRDefault="00356EB2" w:rsidP="00356EB2">
      <w:pPr>
        <w:numPr>
          <w:ilvl w:val="1"/>
          <w:numId w:val="6"/>
        </w:numPr>
        <w:ind w:left="0" w:firstLine="709"/>
        <w:jc w:val="both"/>
        <w:rPr>
          <w:rFonts w:eastAsia="Arial Unicode MS"/>
          <w:highlight w:val="lightGray"/>
        </w:rPr>
      </w:pPr>
      <w:r w:rsidRPr="007E57A5">
        <w:rPr>
          <w:rFonts w:eastAsia="Arial Unicode MS"/>
          <w:highlight w:val="lightGray"/>
        </w:rPr>
        <w:t xml:space="preserve">Предоставление установки для операций ГНКТ </w:t>
      </w:r>
      <w:r w:rsidRPr="007E57A5">
        <w:rPr>
          <w:highlight w:val="lightGray"/>
        </w:rPr>
        <w:t xml:space="preserve">требуемой комплектации (См. п/п 6.1 настоящего Технического задания) и </w:t>
      </w:r>
      <w:r w:rsidR="007346B0" w:rsidRPr="007E57A5">
        <w:rPr>
          <w:highlight w:val="lightGray"/>
        </w:rPr>
        <w:t>квалифицированный персонал</w:t>
      </w:r>
      <w:r w:rsidRPr="007E57A5">
        <w:rPr>
          <w:highlight w:val="lightGray"/>
        </w:rPr>
        <w:t>.</w:t>
      </w:r>
      <w:r w:rsidRPr="007E57A5">
        <w:rPr>
          <w:rFonts w:eastAsia="Arial Unicode MS"/>
          <w:highlight w:val="lightGray"/>
        </w:rPr>
        <w:t xml:space="preserve"> </w:t>
      </w:r>
    </w:p>
    <w:p w:rsidR="00356EB2" w:rsidRPr="007E57A5" w:rsidRDefault="00356EB2" w:rsidP="00356EB2">
      <w:pPr>
        <w:numPr>
          <w:ilvl w:val="1"/>
          <w:numId w:val="6"/>
        </w:numPr>
        <w:ind w:left="0" w:firstLine="709"/>
        <w:jc w:val="both"/>
        <w:rPr>
          <w:rFonts w:eastAsia="Arial Unicode MS"/>
          <w:highlight w:val="lightGray"/>
        </w:rPr>
      </w:pPr>
      <w:r w:rsidRPr="007E57A5">
        <w:rPr>
          <w:highlight w:val="lightGray"/>
        </w:rPr>
        <w:t xml:space="preserve">Все </w:t>
      </w:r>
      <w:r w:rsidR="004A3609" w:rsidRPr="007E57A5">
        <w:rPr>
          <w:highlight w:val="lightGray"/>
        </w:rPr>
        <w:t>работы</w:t>
      </w:r>
      <w:r w:rsidRPr="007E57A5">
        <w:rPr>
          <w:highlight w:val="lightGray"/>
        </w:rPr>
        <w:t xml:space="preserve">, которые, в соответствии с практикой и стандартами </w:t>
      </w:r>
      <w:r w:rsidR="004A3609" w:rsidRPr="007E57A5">
        <w:rPr>
          <w:highlight w:val="lightGray"/>
        </w:rPr>
        <w:t>производятся</w:t>
      </w:r>
      <w:r w:rsidRPr="007E57A5">
        <w:rPr>
          <w:highlight w:val="lightGray"/>
        </w:rPr>
        <w:t xml:space="preserve"> в нефтегазовой промышленности РФ, используя выш</w:t>
      </w:r>
      <w:r w:rsidR="001C48B2" w:rsidRPr="007E57A5">
        <w:rPr>
          <w:highlight w:val="lightGray"/>
        </w:rPr>
        <w:t>е</w:t>
      </w:r>
      <w:r w:rsidRPr="007E57A5">
        <w:rPr>
          <w:highlight w:val="lightGray"/>
        </w:rPr>
        <w:t>указанное оборудование (См. п/п 6.1 настоящего Технического задания).</w:t>
      </w:r>
    </w:p>
    <w:p w:rsidR="00205592" w:rsidRPr="007E57A5" w:rsidRDefault="006B7A15" w:rsidP="001D3AA9">
      <w:pPr>
        <w:pStyle w:val="3"/>
        <w:numPr>
          <w:ilvl w:val="0"/>
          <w:numId w:val="6"/>
        </w:numPr>
        <w:jc w:val="both"/>
        <w:rPr>
          <w:rStyle w:val="aa"/>
          <w:b/>
          <w:highlight w:val="lightGray"/>
        </w:rPr>
      </w:pPr>
      <w:r w:rsidRPr="007E57A5">
        <w:rPr>
          <w:rStyle w:val="aa"/>
          <w:b/>
          <w:highlight w:val="lightGray"/>
        </w:rPr>
        <w:t>Условия выполнения работ.</w:t>
      </w:r>
    </w:p>
    <w:p w:rsidR="006B7A15" w:rsidRPr="007E57A5" w:rsidRDefault="006B7A15" w:rsidP="00797FA2">
      <w:pPr>
        <w:numPr>
          <w:ilvl w:val="1"/>
          <w:numId w:val="6"/>
        </w:numPr>
        <w:autoSpaceDE w:val="0"/>
        <w:autoSpaceDN w:val="0"/>
        <w:adjustRightInd w:val="0"/>
        <w:ind w:left="0" w:firstLine="709"/>
        <w:jc w:val="both"/>
        <w:rPr>
          <w:highlight w:val="lightGray"/>
        </w:rPr>
      </w:pPr>
      <w:r w:rsidRPr="007E57A5">
        <w:rPr>
          <w:highlight w:val="lightGray"/>
        </w:rPr>
        <w:t>Немедленно информировать Заказчика телефонограммой об авариях и осложнениях, возникших в процессе работы на скважинах,  которые не позволяют выполнить запланированный объем работ, согласованный сторонами.</w:t>
      </w:r>
    </w:p>
    <w:p w:rsidR="006B7A15" w:rsidRPr="007E57A5" w:rsidRDefault="006B7A15" w:rsidP="00797FA2">
      <w:pPr>
        <w:numPr>
          <w:ilvl w:val="1"/>
          <w:numId w:val="6"/>
        </w:numPr>
        <w:autoSpaceDE w:val="0"/>
        <w:autoSpaceDN w:val="0"/>
        <w:adjustRightInd w:val="0"/>
        <w:ind w:left="0" w:firstLine="709"/>
        <w:jc w:val="both"/>
        <w:rPr>
          <w:spacing w:val="2"/>
          <w:highlight w:val="lightGray"/>
        </w:rPr>
      </w:pPr>
      <w:r w:rsidRPr="007E57A5">
        <w:rPr>
          <w:highlight w:val="lightGray"/>
        </w:rPr>
        <w:lastRenderedPageBreak/>
        <w:t xml:space="preserve">Обеспечить </w:t>
      </w:r>
      <w:r w:rsidR="00731B21" w:rsidRPr="007E57A5">
        <w:rPr>
          <w:highlight w:val="lightGray"/>
        </w:rPr>
        <w:t xml:space="preserve">бригады </w:t>
      </w:r>
      <w:r w:rsidRPr="007E57A5">
        <w:rPr>
          <w:highlight w:val="lightGray"/>
        </w:rPr>
        <w:t xml:space="preserve">опломбированными счетчиками эл. </w:t>
      </w:r>
      <w:r w:rsidR="006E4412" w:rsidRPr="007E57A5">
        <w:rPr>
          <w:highlight w:val="lightGray"/>
        </w:rPr>
        <w:t>энергии</w:t>
      </w:r>
      <w:r w:rsidRPr="007E57A5">
        <w:rPr>
          <w:highlight w:val="lightGray"/>
        </w:rPr>
        <w:t>, и по согласованию с ОГЭ Заказчика, утвердить нормы расхода эл. энергии для бригад, работающих на месторождениях, имеющих автономные источники энергоснабжения.</w:t>
      </w:r>
    </w:p>
    <w:p w:rsidR="006B7A15" w:rsidRPr="007E57A5" w:rsidRDefault="006B7A15" w:rsidP="00797FA2">
      <w:pPr>
        <w:numPr>
          <w:ilvl w:val="1"/>
          <w:numId w:val="6"/>
        </w:numPr>
        <w:autoSpaceDE w:val="0"/>
        <w:autoSpaceDN w:val="0"/>
        <w:adjustRightInd w:val="0"/>
        <w:ind w:left="0" w:firstLine="709"/>
        <w:jc w:val="both"/>
        <w:rPr>
          <w:spacing w:val="2"/>
          <w:highlight w:val="lightGray"/>
        </w:rPr>
      </w:pPr>
      <w:r w:rsidRPr="007E57A5">
        <w:rPr>
          <w:highlight w:val="lightGray"/>
        </w:rPr>
        <w:t>Заключить договоры с энергосбытовой и сетевой компаниями на покупку и передачу электроэнергии.</w:t>
      </w:r>
    </w:p>
    <w:p w:rsidR="006B7A15" w:rsidRPr="007E57A5" w:rsidRDefault="006B7A15" w:rsidP="00797FA2">
      <w:pPr>
        <w:numPr>
          <w:ilvl w:val="1"/>
          <w:numId w:val="6"/>
        </w:numPr>
        <w:autoSpaceDE w:val="0"/>
        <w:autoSpaceDN w:val="0"/>
        <w:adjustRightInd w:val="0"/>
        <w:ind w:left="0" w:firstLine="709"/>
        <w:jc w:val="both"/>
        <w:rPr>
          <w:highlight w:val="lightGray"/>
        </w:rPr>
      </w:pPr>
      <w:r w:rsidRPr="007E57A5">
        <w:rPr>
          <w:highlight w:val="lightGray"/>
        </w:rPr>
        <w:t xml:space="preserve">При выполнении подрядных работ на объектах </w:t>
      </w:r>
      <w:r w:rsidR="004455A0" w:rsidRPr="007E57A5">
        <w:rPr>
          <w:highlight w:val="lightGray"/>
        </w:rPr>
        <w:t>Заказчика</w:t>
      </w:r>
      <w:r w:rsidRPr="007E57A5">
        <w:rPr>
          <w:highlight w:val="lightGray"/>
        </w:rPr>
        <w:t>, Подрядчик собственными силами и за счет собственных средств осуществляет размещение (расстановку) на производственной площадке оборудования (транспортные средства, специальная техника и иное имущество) необходимое для выполнения работ, а также размещение рабочих и служащих Подрядчика.</w:t>
      </w:r>
    </w:p>
    <w:p w:rsidR="006B7A15" w:rsidRPr="007E57A5" w:rsidRDefault="006B7A15" w:rsidP="00286241">
      <w:pPr>
        <w:numPr>
          <w:ilvl w:val="1"/>
          <w:numId w:val="6"/>
        </w:numPr>
        <w:autoSpaceDE w:val="0"/>
        <w:autoSpaceDN w:val="0"/>
        <w:adjustRightInd w:val="0"/>
        <w:ind w:left="0" w:firstLine="709"/>
        <w:jc w:val="both"/>
        <w:rPr>
          <w:highlight w:val="lightGray"/>
        </w:rPr>
      </w:pPr>
      <w:r w:rsidRPr="007E57A5">
        <w:rPr>
          <w:highlight w:val="lightGray"/>
        </w:rPr>
        <w:t>Подрядчик на правах собственника отходов самостоятельно и за свой счет осуществляет вывоз и утилизацию отходов, образующихся в процессе его производственной и хозяйственной деятельности на объектах Заказчика.</w:t>
      </w:r>
    </w:p>
    <w:p w:rsidR="00356EB2" w:rsidRPr="007E57A5" w:rsidRDefault="006B7A15" w:rsidP="00797FA2">
      <w:pPr>
        <w:pStyle w:val="3"/>
        <w:numPr>
          <w:ilvl w:val="0"/>
          <w:numId w:val="6"/>
        </w:numPr>
        <w:ind w:left="0" w:firstLine="709"/>
        <w:jc w:val="both"/>
        <w:rPr>
          <w:rStyle w:val="aa"/>
          <w:rFonts w:eastAsia="Arial Unicode MS"/>
          <w:b/>
          <w:highlight w:val="lightGray"/>
        </w:rPr>
      </w:pPr>
      <w:r w:rsidRPr="007E57A5">
        <w:rPr>
          <w:rStyle w:val="aa"/>
          <w:b/>
          <w:highlight w:val="lightGray"/>
        </w:rPr>
        <w:t>Прочие условия.</w:t>
      </w:r>
      <w:r w:rsidRPr="007E57A5">
        <w:rPr>
          <w:rStyle w:val="aa"/>
          <w:b/>
          <w:highlight w:val="lightGray"/>
        </w:rPr>
        <w:tab/>
      </w:r>
    </w:p>
    <w:p w:rsidR="006B7A15" w:rsidRPr="007E57A5" w:rsidRDefault="006B7A15" w:rsidP="00797FA2">
      <w:pPr>
        <w:numPr>
          <w:ilvl w:val="1"/>
          <w:numId w:val="6"/>
        </w:numPr>
        <w:autoSpaceDE w:val="0"/>
        <w:autoSpaceDN w:val="0"/>
        <w:adjustRightInd w:val="0"/>
        <w:ind w:left="0" w:firstLine="709"/>
        <w:jc w:val="both"/>
        <w:rPr>
          <w:highlight w:val="lightGray"/>
        </w:rPr>
      </w:pPr>
      <w:r w:rsidRPr="007E57A5">
        <w:rPr>
          <w:highlight w:val="lightGray"/>
        </w:rPr>
        <w:t>Заказчик отстраняет от участия в тендере, на любом этапе его проведения, Претендента в случае предоставления им недостоверных сведений о его соответствии требованиям, установленным Заказчиком;</w:t>
      </w:r>
    </w:p>
    <w:p w:rsidR="006B7A15" w:rsidRPr="007E57A5" w:rsidRDefault="006B7A15" w:rsidP="00797FA2">
      <w:pPr>
        <w:numPr>
          <w:ilvl w:val="1"/>
          <w:numId w:val="6"/>
        </w:numPr>
        <w:autoSpaceDE w:val="0"/>
        <w:autoSpaceDN w:val="0"/>
        <w:adjustRightInd w:val="0"/>
        <w:ind w:left="0" w:firstLine="709"/>
        <w:jc w:val="both"/>
        <w:rPr>
          <w:highlight w:val="lightGray"/>
        </w:rPr>
      </w:pPr>
      <w:r w:rsidRPr="007E57A5">
        <w:rPr>
          <w:highlight w:val="lightGray"/>
        </w:rPr>
        <w:t xml:space="preserve">Заказчик вправе отклонить оферту Претендента, содержащую существенные отклонения от требований и условий ПДО. </w:t>
      </w:r>
    </w:p>
    <w:p w:rsidR="006B7A15" w:rsidRPr="007E57A5" w:rsidRDefault="00C81699" w:rsidP="00797FA2">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З</w:t>
      </w:r>
      <w:r w:rsidR="006E4412" w:rsidRPr="007E57A5">
        <w:rPr>
          <w:rFonts w:ascii="Times New Roman" w:hAnsi="Times New Roman"/>
          <w:sz w:val="24"/>
          <w:szCs w:val="24"/>
          <w:highlight w:val="lightGray"/>
        </w:rPr>
        <w:t>апрос</w:t>
      </w:r>
      <w:r w:rsidR="006B7A15" w:rsidRPr="007E57A5">
        <w:rPr>
          <w:rFonts w:ascii="Times New Roman" w:hAnsi="Times New Roman"/>
          <w:sz w:val="24"/>
          <w:szCs w:val="24"/>
          <w:highlight w:val="lightGray"/>
        </w:rPr>
        <w:t xml:space="preserve"> предложений не является торгами (конкурсом, аукционом)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6B7A15" w:rsidRPr="007E57A5" w:rsidRDefault="006B7A15" w:rsidP="00797FA2">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Организатор имеет право вносить изменения в извещение о проведении Запроса предложений в любое время до истечения срока подачи Заявок.</w:t>
      </w:r>
    </w:p>
    <w:p w:rsidR="006B7A15" w:rsidRPr="007E57A5" w:rsidRDefault="006B7A15" w:rsidP="00797FA2">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Организатор имеет право отказаться от проведения Запроса предложений в любое время до подведения его итогов, не неся никакой ответственности перед участниками размещения заказа или третьими лицами, которым такие действия могут принести убытки.</w:t>
      </w:r>
    </w:p>
    <w:p w:rsidR="004E618B" w:rsidRPr="007E57A5" w:rsidRDefault="006B7A15" w:rsidP="00D54933">
      <w:pPr>
        <w:pStyle w:val="a4"/>
        <w:numPr>
          <w:ilvl w:val="1"/>
          <w:numId w:val="6"/>
        </w:numPr>
        <w:ind w:left="0" w:firstLine="709"/>
        <w:jc w:val="both"/>
        <w:rPr>
          <w:rFonts w:ascii="Times New Roman" w:hAnsi="Times New Roman"/>
          <w:sz w:val="24"/>
          <w:szCs w:val="24"/>
          <w:highlight w:val="lightGray"/>
        </w:rPr>
      </w:pPr>
      <w:r w:rsidRPr="007E57A5">
        <w:rPr>
          <w:rFonts w:ascii="Times New Roman" w:hAnsi="Times New Roman"/>
          <w:sz w:val="24"/>
          <w:szCs w:val="24"/>
          <w:highlight w:val="lightGray"/>
        </w:rPr>
        <w:t>Запрос предложений признается несостоявшимся, если по окончании срока подачи Заявок не подано ни одной Заявки, а также, в случае если на основании результатов рассмотрения Заявок принято решение об отклонении всех Заявок.</w:t>
      </w:r>
    </w:p>
    <w:p w:rsidR="004E618B" w:rsidRPr="007E57A5" w:rsidRDefault="004E618B" w:rsidP="004E618B">
      <w:pPr>
        <w:pStyle w:val="a4"/>
        <w:ind w:left="720"/>
        <w:jc w:val="both"/>
        <w:rPr>
          <w:rFonts w:ascii="Times New Roman" w:hAnsi="Times New Roman"/>
          <w:sz w:val="24"/>
          <w:szCs w:val="24"/>
          <w:highlight w:val="lightGray"/>
        </w:rPr>
      </w:pPr>
    </w:p>
    <w:p w:rsidR="00356EB2" w:rsidRPr="007E57A5" w:rsidRDefault="004B20C3" w:rsidP="00356EB2">
      <w:pPr>
        <w:pStyle w:val="3"/>
        <w:numPr>
          <w:ilvl w:val="0"/>
          <w:numId w:val="6"/>
        </w:numPr>
        <w:ind w:left="0" w:firstLine="709"/>
        <w:jc w:val="both"/>
        <w:rPr>
          <w:rStyle w:val="aa"/>
          <w:b/>
          <w:highlight w:val="lightGray"/>
        </w:rPr>
      </w:pPr>
      <w:r w:rsidRPr="007E57A5">
        <w:rPr>
          <w:rStyle w:val="aa"/>
          <w:b/>
          <w:highlight w:val="lightGray"/>
        </w:rPr>
        <w:t>И</w:t>
      </w:r>
      <w:r w:rsidR="000F4AA1" w:rsidRPr="007E57A5">
        <w:rPr>
          <w:rStyle w:val="aa"/>
          <w:b/>
          <w:highlight w:val="lightGray"/>
        </w:rPr>
        <w:t>нформация о запросе предложений</w:t>
      </w:r>
    </w:p>
    <w:p w:rsidR="00FA2A3B" w:rsidRPr="007E57A5" w:rsidRDefault="00FA2A3B" w:rsidP="00FA2A3B">
      <w:pPr>
        <w:pStyle w:val="a4"/>
        <w:jc w:val="both"/>
        <w:rPr>
          <w:rFonts w:ascii="Times New Roman" w:hAnsi="Times New Roman"/>
          <w:sz w:val="24"/>
          <w:szCs w:val="24"/>
          <w:highlight w:val="lightGray"/>
        </w:rPr>
      </w:pPr>
    </w:p>
    <w:p w:rsidR="00FA2A3B" w:rsidRPr="007E57A5" w:rsidRDefault="00FA2A3B" w:rsidP="00FA2A3B">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Контактное лицо по решению технических вопросов: </w:t>
      </w:r>
    </w:p>
    <w:p w:rsidR="00FA2A3B" w:rsidRPr="007E57A5" w:rsidRDefault="00AE6028" w:rsidP="00FA2A3B">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(Должность Ф.И.О.)</w:t>
      </w:r>
      <w:r w:rsidR="00FA2A3B" w:rsidRPr="007E57A5">
        <w:rPr>
          <w:rFonts w:ascii="Times New Roman" w:hAnsi="Times New Roman"/>
          <w:sz w:val="24"/>
          <w:szCs w:val="24"/>
          <w:highlight w:val="lightGray"/>
        </w:rPr>
        <w:t xml:space="preserve">  </w:t>
      </w:r>
    </w:p>
    <w:p w:rsidR="00FA2A3B" w:rsidRPr="007E57A5" w:rsidRDefault="00FA2A3B" w:rsidP="00FA2A3B">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lang w:val="en-US"/>
        </w:rPr>
        <w:t>E</w:t>
      </w:r>
      <w:r w:rsidRPr="007E57A5">
        <w:rPr>
          <w:rFonts w:ascii="Times New Roman" w:hAnsi="Times New Roman"/>
          <w:sz w:val="24"/>
          <w:szCs w:val="24"/>
          <w:highlight w:val="lightGray"/>
        </w:rPr>
        <w:t>-</w:t>
      </w:r>
      <w:r w:rsidRPr="007E57A5">
        <w:rPr>
          <w:rFonts w:ascii="Times New Roman" w:hAnsi="Times New Roman"/>
          <w:sz w:val="24"/>
          <w:szCs w:val="24"/>
          <w:highlight w:val="lightGray"/>
          <w:lang w:val="en-US"/>
        </w:rPr>
        <w:t>mail</w:t>
      </w:r>
      <w:r w:rsidRPr="007E57A5">
        <w:rPr>
          <w:rFonts w:ascii="Times New Roman" w:hAnsi="Times New Roman"/>
          <w:sz w:val="24"/>
          <w:szCs w:val="24"/>
          <w:highlight w:val="lightGray"/>
        </w:rPr>
        <w:t xml:space="preserve">:  </w:t>
      </w:r>
      <w:hyperlink r:id="rId6" w:history="1">
        <w:r w:rsidR="00AE6028" w:rsidRPr="007E57A5">
          <w:rPr>
            <w:rFonts w:ascii="Arial" w:hAnsi="Arial" w:cs="Arial"/>
            <w:color w:val="003399"/>
            <w:sz w:val="24"/>
            <w:szCs w:val="24"/>
            <w:highlight w:val="lightGray"/>
            <w:u w:val="single"/>
          </w:rPr>
          <w:t>________________________</w:t>
        </w:r>
      </w:hyperlink>
    </w:p>
    <w:p w:rsidR="00FA2A3B" w:rsidRPr="007E57A5" w:rsidRDefault="00FA2A3B" w:rsidP="00FA2A3B">
      <w:pPr>
        <w:pStyle w:val="a4"/>
        <w:ind w:firstLine="709"/>
        <w:jc w:val="both"/>
        <w:rPr>
          <w:rFonts w:ascii="Times New Roman" w:hAnsi="Times New Roman"/>
          <w:sz w:val="24"/>
          <w:szCs w:val="24"/>
          <w:highlight w:val="lightGray"/>
        </w:rPr>
      </w:pPr>
      <w:r w:rsidRPr="007E57A5">
        <w:rPr>
          <w:rFonts w:ascii="Times New Roman" w:hAnsi="Times New Roman"/>
          <w:sz w:val="24"/>
          <w:szCs w:val="24"/>
          <w:highlight w:val="lightGray"/>
        </w:rPr>
        <w:t xml:space="preserve">Телефон: +7 </w:t>
      </w:r>
      <w:r w:rsidR="00AE6028" w:rsidRPr="007E57A5">
        <w:rPr>
          <w:rFonts w:ascii="Times New Roman" w:hAnsi="Times New Roman"/>
          <w:sz w:val="24"/>
          <w:szCs w:val="24"/>
          <w:highlight w:val="lightGray"/>
        </w:rPr>
        <w:t>____________</w:t>
      </w:r>
      <w:r w:rsidRPr="007E57A5">
        <w:rPr>
          <w:rFonts w:ascii="Times New Roman" w:hAnsi="Times New Roman"/>
          <w:sz w:val="24"/>
          <w:szCs w:val="24"/>
          <w:highlight w:val="lightGray"/>
        </w:rPr>
        <w:t>; Факс: +</w:t>
      </w:r>
      <w:r w:rsidR="00AE6028" w:rsidRPr="007E57A5">
        <w:rPr>
          <w:rFonts w:ascii="Times New Roman" w:hAnsi="Times New Roman"/>
          <w:sz w:val="24"/>
          <w:szCs w:val="24"/>
          <w:highlight w:val="lightGray"/>
        </w:rPr>
        <w:t>________________</w:t>
      </w:r>
      <w:r w:rsidRPr="007E57A5">
        <w:rPr>
          <w:rFonts w:ascii="Times New Roman" w:hAnsi="Times New Roman"/>
          <w:sz w:val="24"/>
          <w:szCs w:val="24"/>
          <w:highlight w:val="lightGray"/>
        </w:rPr>
        <w:t>.</w:t>
      </w:r>
    </w:p>
    <w:p w:rsidR="00FA2A3B" w:rsidRPr="007E57A5" w:rsidRDefault="00FA2A3B" w:rsidP="00286241">
      <w:pPr>
        <w:jc w:val="both"/>
        <w:rPr>
          <w:rFonts w:eastAsia="Arial Unicode MS"/>
          <w:b/>
          <w:highlight w:val="lightGray"/>
        </w:rPr>
      </w:pPr>
    </w:p>
    <w:tbl>
      <w:tblPr>
        <w:tblW w:w="0" w:type="auto"/>
        <w:tblLook w:val="04A0" w:firstRow="1" w:lastRow="0" w:firstColumn="1" w:lastColumn="0" w:noHBand="0" w:noVBand="1"/>
      </w:tblPr>
      <w:tblGrid>
        <w:gridCol w:w="60"/>
        <w:gridCol w:w="2364"/>
        <w:gridCol w:w="2364"/>
        <w:gridCol w:w="635"/>
        <w:gridCol w:w="85"/>
        <w:gridCol w:w="2222"/>
        <w:gridCol w:w="962"/>
        <w:gridCol w:w="879"/>
        <w:gridCol w:w="381"/>
      </w:tblGrid>
      <w:tr w:rsidR="00FA2A3B" w:rsidRPr="00D274A7" w:rsidTr="00D54933">
        <w:trPr>
          <w:gridAfter w:val="1"/>
          <w:wAfter w:w="381" w:type="dxa"/>
        </w:trPr>
        <w:tc>
          <w:tcPr>
            <w:tcW w:w="5423" w:type="dxa"/>
            <w:gridSpan w:val="4"/>
            <w:shd w:val="clear" w:color="auto" w:fill="auto"/>
          </w:tcPr>
          <w:p w:rsidR="00FA2A3B" w:rsidRPr="007E57A5" w:rsidRDefault="00FA2A3B" w:rsidP="007967CF">
            <w:pPr>
              <w:pStyle w:val="a4"/>
              <w:rPr>
                <w:rFonts w:ascii="Times New Roman" w:hAnsi="Times New Roman"/>
                <w:b/>
                <w:sz w:val="24"/>
                <w:szCs w:val="24"/>
                <w:highlight w:val="lightGray"/>
              </w:rPr>
            </w:pPr>
          </w:p>
        </w:tc>
        <w:tc>
          <w:tcPr>
            <w:tcW w:w="4148" w:type="dxa"/>
            <w:gridSpan w:val="4"/>
            <w:shd w:val="clear" w:color="auto" w:fill="auto"/>
            <w:vAlign w:val="bottom"/>
          </w:tcPr>
          <w:p w:rsidR="00FA2A3B" w:rsidRPr="007E57A5" w:rsidRDefault="00FA2A3B" w:rsidP="007967CF">
            <w:pPr>
              <w:pStyle w:val="a4"/>
              <w:ind w:firstLine="2160"/>
              <w:rPr>
                <w:rFonts w:ascii="Times New Roman" w:hAnsi="Times New Roman"/>
                <w:b/>
                <w:sz w:val="24"/>
                <w:szCs w:val="24"/>
                <w:highlight w:val="lightGray"/>
              </w:rPr>
            </w:pP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Pr>
          <w:p w:rsidR="007C28B4" w:rsidRPr="007C28B4" w:rsidRDefault="007C28B4" w:rsidP="007C28B4">
            <w:pPr>
              <w:snapToGrid w:val="0"/>
              <w:ind w:firstLine="360"/>
              <w:jc w:val="both"/>
              <w:rPr>
                <w:b/>
              </w:rPr>
            </w:pPr>
            <w:r w:rsidRPr="007C28B4">
              <w:rPr>
                <w:b/>
              </w:rPr>
              <w:t>Заказчик:</w:t>
            </w:r>
          </w:p>
        </w:tc>
        <w:tc>
          <w:tcPr>
            <w:tcW w:w="720" w:type="dxa"/>
            <w:gridSpan w:val="2"/>
          </w:tcPr>
          <w:p w:rsidR="007C28B4" w:rsidRPr="007C28B4" w:rsidRDefault="007C28B4" w:rsidP="007C28B4">
            <w:pPr>
              <w:snapToGrid w:val="0"/>
              <w:ind w:firstLine="360"/>
              <w:jc w:val="center"/>
              <w:rPr>
                <w:b/>
              </w:rPr>
            </w:pPr>
          </w:p>
        </w:tc>
        <w:tc>
          <w:tcPr>
            <w:tcW w:w="4444" w:type="dxa"/>
            <w:gridSpan w:val="4"/>
          </w:tcPr>
          <w:p w:rsidR="007C28B4" w:rsidRPr="007C28B4" w:rsidRDefault="007C28B4" w:rsidP="007C28B4">
            <w:pPr>
              <w:snapToGrid w:val="0"/>
              <w:ind w:firstLine="360"/>
              <w:jc w:val="both"/>
              <w:rPr>
                <w:b/>
              </w:rPr>
            </w:pPr>
            <w:r w:rsidRPr="007C28B4">
              <w:rPr>
                <w:b/>
              </w:rPr>
              <w:t>Подрядчик:</w:t>
            </w: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Pr>
          <w:p w:rsidR="007C28B4" w:rsidRPr="007C28B4" w:rsidRDefault="007C28B4" w:rsidP="007C28B4">
            <w:pPr>
              <w:snapToGrid w:val="0"/>
              <w:ind w:firstLine="360"/>
              <w:jc w:val="both"/>
              <w:rPr>
                <w:b/>
              </w:rPr>
            </w:pPr>
            <w:r w:rsidRPr="007C28B4">
              <w:rPr>
                <w:b/>
              </w:rPr>
              <w:t>ОАО «СН-МНГ»</w:t>
            </w:r>
          </w:p>
        </w:tc>
        <w:tc>
          <w:tcPr>
            <w:tcW w:w="720" w:type="dxa"/>
            <w:gridSpan w:val="2"/>
          </w:tcPr>
          <w:p w:rsidR="007C28B4" w:rsidRPr="007C28B4" w:rsidRDefault="007C28B4" w:rsidP="007C28B4">
            <w:pPr>
              <w:snapToGrid w:val="0"/>
              <w:ind w:firstLine="360"/>
              <w:jc w:val="center"/>
              <w:rPr>
                <w:b/>
              </w:rPr>
            </w:pPr>
          </w:p>
        </w:tc>
        <w:tc>
          <w:tcPr>
            <w:tcW w:w="3184" w:type="dxa"/>
            <w:gridSpan w:val="2"/>
            <w:tcBorders>
              <w:bottom w:val="single" w:sz="4" w:space="0" w:color="auto"/>
            </w:tcBorders>
          </w:tcPr>
          <w:p w:rsidR="007C28B4" w:rsidRPr="007E57A5" w:rsidRDefault="007C28B4" w:rsidP="007C28B4">
            <w:pPr>
              <w:snapToGrid w:val="0"/>
              <w:ind w:firstLine="360"/>
              <w:jc w:val="both"/>
              <w:rPr>
                <w:b/>
                <w:highlight w:val="lightGray"/>
              </w:rPr>
            </w:pPr>
          </w:p>
        </w:tc>
        <w:tc>
          <w:tcPr>
            <w:tcW w:w="1260" w:type="dxa"/>
            <w:gridSpan w:val="2"/>
          </w:tcPr>
          <w:p w:rsidR="007C28B4" w:rsidRPr="007E57A5" w:rsidRDefault="007C28B4" w:rsidP="007C28B4">
            <w:pPr>
              <w:snapToGrid w:val="0"/>
              <w:ind w:firstLine="360"/>
              <w:jc w:val="both"/>
              <w:rPr>
                <w:b/>
                <w:highlight w:val="lightGray"/>
              </w:rPr>
            </w:pP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Pr>
          <w:p w:rsidR="007C28B4" w:rsidRPr="007C28B4" w:rsidRDefault="007C28B4" w:rsidP="007C28B4">
            <w:pPr>
              <w:snapToGrid w:val="0"/>
              <w:ind w:firstLine="360"/>
              <w:jc w:val="both"/>
              <w:rPr>
                <w:b/>
              </w:rPr>
            </w:pPr>
          </w:p>
        </w:tc>
        <w:tc>
          <w:tcPr>
            <w:tcW w:w="720" w:type="dxa"/>
            <w:gridSpan w:val="2"/>
          </w:tcPr>
          <w:p w:rsidR="007C28B4" w:rsidRPr="007C28B4" w:rsidRDefault="007C28B4" w:rsidP="007C28B4">
            <w:pPr>
              <w:snapToGrid w:val="0"/>
              <w:ind w:firstLine="360"/>
              <w:jc w:val="center"/>
              <w:rPr>
                <w:b/>
              </w:rPr>
            </w:pPr>
          </w:p>
        </w:tc>
        <w:tc>
          <w:tcPr>
            <w:tcW w:w="4444" w:type="dxa"/>
            <w:gridSpan w:val="4"/>
          </w:tcPr>
          <w:p w:rsidR="007C28B4" w:rsidRPr="007E57A5" w:rsidRDefault="007C28B4" w:rsidP="007C28B4">
            <w:pPr>
              <w:snapToGrid w:val="0"/>
              <w:ind w:firstLine="360"/>
              <w:jc w:val="both"/>
              <w:rPr>
                <w:i/>
                <w:highlight w:val="lightGray"/>
              </w:rPr>
            </w:pPr>
            <w:r w:rsidRPr="007E57A5">
              <w:rPr>
                <w:i/>
                <w:highlight w:val="lightGray"/>
              </w:rPr>
              <w:t xml:space="preserve">               (наименование)</w:t>
            </w: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Borders>
              <w:bottom w:val="single" w:sz="4" w:space="0" w:color="auto"/>
            </w:tcBorders>
          </w:tcPr>
          <w:p w:rsidR="007C28B4" w:rsidRPr="007C28B4" w:rsidRDefault="007C28B4" w:rsidP="007C28B4">
            <w:pPr>
              <w:snapToGrid w:val="0"/>
              <w:ind w:firstLine="360"/>
              <w:jc w:val="both"/>
              <w:rPr>
                <w:b/>
              </w:rPr>
            </w:pPr>
          </w:p>
        </w:tc>
        <w:tc>
          <w:tcPr>
            <w:tcW w:w="720" w:type="dxa"/>
            <w:gridSpan w:val="2"/>
          </w:tcPr>
          <w:p w:rsidR="007C28B4" w:rsidRPr="007C28B4" w:rsidRDefault="007C28B4" w:rsidP="007C28B4">
            <w:pPr>
              <w:snapToGrid w:val="0"/>
              <w:ind w:firstLine="360"/>
              <w:jc w:val="center"/>
              <w:rPr>
                <w:b/>
              </w:rPr>
            </w:pPr>
          </w:p>
        </w:tc>
        <w:tc>
          <w:tcPr>
            <w:tcW w:w="4444" w:type="dxa"/>
            <w:gridSpan w:val="4"/>
            <w:tcBorders>
              <w:bottom w:val="single" w:sz="4" w:space="0" w:color="auto"/>
            </w:tcBorders>
          </w:tcPr>
          <w:p w:rsidR="007C28B4" w:rsidRPr="007E57A5" w:rsidRDefault="007C28B4" w:rsidP="007C28B4">
            <w:pPr>
              <w:snapToGrid w:val="0"/>
              <w:ind w:firstLine="360"/>
              <w:jc w:val="both"/>
              <w:rPr>
                <w:b/>
                <w:highlight w:val="lightGray"/>
              </w:rPr>
            </w:pP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Borders>
              <w:top w:val="single" w:sz="4" w:space="0" w:color="auto"/>
            </w:tcBorders>
          </w:tcPr>
          <w:p w:rsidR="007C28B4" w:rsidRPr="007E57A5" w:rsidRDefault="007C28B4" w:rsidP="007C28B4">
            <w:pPr>
              <w:snapToGrid w:val="0"/>
              <w:ind w:firstLine="360"/>
              <w:jc w:val="center"/>
              <w:rPr>
                <w:b/>
                <w:i/>
                <w:highlight w:val="lightGray"/>
              </w:rPr>
            </w:pPr>
            <w:r w:rsidRPr="007E57A5">
              <w:rPr>
                <w:i/>
                <w:highlight w:val="lightGray"/>
              </w:rPr>
              <w:t>(должность)</w:t>
            </w:r>
          </w:p>
        </w:tc>
        <w:tc>
          <w:tcPr>
            <w:tcW w:w="720" w:type="dxa"/>
            <w:gridSpan w:val="2"/>
          </w:tcPr>
          <w:p w:rsidR="007C28B4" w:rsidRPr="007C28B4" w:rsidRDefault="007C28B4" w:rsidP="007C28B4">
            <w:pPr>
              <w:snapToGrid w:val="0"/>
              <w:ind w:firstLine="360"/>
              <w:jc w:val="center"/>
              <w:rPr>
                <w:b/>
              </w:rPr>
            </w:pPr>
          </w:p>
        </w:tc>
        <w:tc>
          <w:tcPr>
            <w:tcW w:w="4444" w:type="dxa"/>
            <w:gridSpan w:val="4"/>
            <w:tcBorders>
              <w:top w:val="single" w:sz="4" w:space="0" w:color="auto"/>
            </w:tcBorders>
          </w:tcPr>
          <w:p w:rsidR="007C28B4" w:rsidRPr="007E57A5" w:rsidRDefault="007C28B4" w:rsidP="007C28B4">
            <w:pPr>
              <w:snapToGrid w:val="0"/>
              <w:ind w:firstLine="360"/>
              <w:jc w:val="center"/>
              <w:rPr>
                <w:b/>
                <w:i/>
                <w:highlight w:val="lightGray"/>
              </w:rPr>
            </w:pPr>
            <w:r w:rsidRPr="007E57A5">
              <w:rPr>
                <w:i/>
                <w:highlight w:val="lightGray"/>
              </w:rPr>
              <w:t>(должность)</w:t>
            </w:r>
          </w:p>
        </w:tc>
      </w:tr>
      <w:tr w:rsidR="007C28B4" w:rsidRPr="007C28B4" w:rsidTr="00D54933">
        <w:tblPrEx>
          <w:tblLook w:val="0000" w:firstRow="0" w:lastRow="0" w:firstColumn="0" w:lastColumn="0" w:noHBand="0" w:noVBand="0"/>
        </w:tblPrEx>
        <w:trPr>
          <w:gridBefore w:val="1"/>
          <w:wBefore w:w="60" w:type="dxa"/>
          <w:trHeight w:val="182"/>
        </w:trPr>
        <w:tc>
          <w:tcPr>
            <w:tcW w:w="2364" w:type="dxa"/>
            <w:tcBorders>
              <w:bottom w:val="single" w:sz="4" w:space="0" w:color="auto"/>
            </w:tcBorders>
          </w:tcPr>
          <w:p w:rsidR="007C28B4" w:rsidRPr="007E57A5" w:rsidRDefault="007C28B4" w:rsidP="007C28B4">
            <w:pPr>
              <w:snapToGrid w:val="0"/>
              <w:ind w:firstLine="360"/>
              <w:jc w:val="center"/>
              <w:rPr>
                <w:i/>
                <w:highlight w:val="lightGray"/>
              </w:rPr>
            </w:pPr>
          </w:p>
        </w:tc>
        <w:tc>
          <w:tcPr>
            <w:tcW w:w="2364" w:type="dxa"/>
          </w:tcPr>
          <w:p w:rsidR="007C28B4" w:rsidRPr="007E57A5" w:rsidRDefault="007C28B4" w:rsidP="007C28B4">
            <w:pPr>
              <w:snapToGrid w:val="0"/>
              <w:ind w:firstLine="360"/>
              <w:jc w:val="center"/>
              <w:rPr>
                <w:i/>
                <w:highlight w:val="lightGray"/>
              </w:rPr>
            </w:pPr>
            <w:r w:rsidRPr="007E57A5">
              <w:rPr>
                <w:b/>
                <w:highlight w:val="lightGray"/>
              </w:rPr>
              <w:t>(ФИО)</w:t>
            </w:r>
          </w:p>
        </w:tc>
        <w:tc>
          <w:tcPr>
            <w:tcW w:w="720" w:type="dxa"/>
            <w:gridSpan w:val="2"/>
          </w:tcPr>
          <w:p w:rsidR="007C28B4" w:rsidRPr="007C28B4" w:rsidRDefault="007C28B4" w:rsidP="007C28B4">
            <w:pPr>
              <w:snapToGrid w:val="0"/>
              <w:ind w:firstLine="360"/>
              <w:jc w:val="center"/>
              <w:rPr>
                <w:b/>
              </w:rPr>
            </w:pPr>
          </w:p>
        </w:tc>
        <w:tc>
          <w:tcPr>
            <w:tcW w:w="2222" w:type="dxa"/>
            <w:tcBorders>
              <w:bottom w:val="single" w:sz="4" w:space="0" w:color="auto"/>
            </w:tcBorders>
          </w:tcPr>
          <w:p w:rsidR="007C28B4" w:rsidRPr="007E57A5" w:rsidRDefault="007C28B4" w:rsidP="007C28B4">
            <w:pPr>
              <w:snapToGrid w:val="0"/>
              <w:ind w:firstLine="360"/>
              <w:jc w:val="center"/>
              <w:rPr>
                <w:i/>
                <w:highlight w:val="lightGray"/>
              </w:rPr>
            </w:pPr>
          </w:p>
        </w:tc>
        <w:tc>
          <w:tcPr>
            <w:tcW w:w="2222" w:type="dxa"/>
            <w:gridSpan w:val="3"/>
          </w:tcPr>
          <w:p w:rsidR="007C28B4" w:rsidRPr="007E57A5" w:rsidRDefault="007C28B4" w:rsidP="007C28B4">
            <w:pPr>
              <w:snapToGrid w:val="0"/>
              <w:ind w:firstLine="360"/>
              <w:jc w:val="center"/>
              <w:rPr>
                <w:i/>
                <w:highlight w:val="lightGray"/>
              </w:rPr>
            </w:pPr>
            <w:r w:rsidRPr="007E57A5">
              <w:rPr>
                <w:b/>
                <w:highlight w:val="lightGray"/>
              </w:rPr>
              <w:t>(ФИО)</w:t>
            </w:r>
          </w:p>
        </w:tc>
      </w:tr>
      <w:tr w:rsidR="007C28B4" w:rsidRPr="007C28B4" w:rsidTr="00D54933">
        <w:tblPrEx>
          <w:tblLook w:val="0000" w:firstRow="0" w:lastRow="0" w:firstColumn="0" w:lastColumn="0" w:noHBand="0" w:noVBand="0"/>
        </w:tblPrEx>
        <w:trPr>
          <w:gridBefore w:val="1"/>
          <w:wBefore w:w="60" w:type="dxa"/>
          <w:trHeight w:val="182"/>
        </w:trPr>
        <w:tc>
          <w:tcPr>
            <w:tcW w:w="4728" w:type="dxa"/>
            <w:gridSpan w:val="2"/>
          </w:tcPr>
          <w:p w:rsidR="007C28B4" w:rsidRPr="007E57A5" w:rsidRDefault="007C28B4" w:rsidP="007C28B4">
            <w:pPr>
              <w:snapToGrid w:val="0"/>
              <w:ind w:firstLine="360"/>
              <w:jc w:val="both"/>
              <w:rPr>
                <w:i/>
                <w:highlight w:val="lightGray"/>
              </w:rPr>
            </w:pPr>
            <w:r w:rsidRPr="007E57A5">
              <w:rPr>
                <w:i/>
                <w:highlight w:val="lightGray"/>
              </w:rPr>
              <w:t xml:space="preserve">          (подпись)</w:t>
            </w:r>
          </w:p>
        </w:tc>
        <w:tc>
          <w:tcPr>
            <w:tcW w:w="720" w:type="dxa"/>
            <w:gridSpan w:val="2"/>
          </w:tcPr>
          <w:p w:rsidR="007C28B4" w:rsidRPr="007C28B4" w:rsidRDefault="007C28B4" w:rsidP="007C28B4">
            <w:pPr>
              <w:snapToGrid w:val="0"/>
              <w:ind w:firstLine="360"/>
              <w:jc w:val="center"/>
              <w:rPr>
                <w:b/>
              </w:rPr>
            </w:pPr>
          </w:p>
        </w:tc>
        <w:tc>
          <w:tcPr>
            <w:tcW w:w="4444" w:type="dxa"/>
            <w:gridSpan w:val="4"/>
          </w:tcPr>
          <w:p w:rsidR="007C28B4" w:rsidRPr="007E57A5" w:rsidRDefault="007C28B4" w:rsidP="007C28B4">
            <w:pPr>
              <w:snapToGrid w:val="0"/>
              <w:ind w:firstLine="360"/>
              <w:jc w:val="both"/>
              <w:rPr>
                <w:i/>
                <w:highlight w:val="lightGray"/>
              </w:rPr>
            </w:pPr>
            <w:r w:rsidRPr="007E57A5">
              <w:rPr>
                <w:i/>
                <w:highlight w:val="lightGray"/>
              </w:rPr>
              <w:t xml:space="preserve">          (подпись)</w:t>
            </w:r>
          </w:p>
        </w:tc>
      </w:tr>
      <w:tr w:rsidR="007C28B4" w:rsidRPr="007C28B4" w:rsidTr="00D54933">
        <w:tblPrEx>
          <w:tblLook w:val="0000" w:firstRow="0" w:lastRow="0" w:firstColumn="0" w:lastColumn="0" w:noHBand="0" w:noVBand="0"/>
        </w:tblPrEx>
        <w:trPr>
          <w:gridBefore w:val="1"/>
          <w:wBefore w:w="60" w:type="dxa"/>
          <w:trHeight w:val="180"/>
        </w:trPr>
        <w:tc>
          <w:tcPr>
            <w:tcW w:w="4728" w:type="dxa"/>
            <w:gridSpan w:val="2"/>
          </w:tcPr>
          <w:p w:rsidR="007C28B4" w:rsidRPr="007E57A5" w:rsidRDefault="007C28B4" w:rsidP="007C28B4">
            <w:pPr>
              <w:snapToGrid w:val="0"/>
              <w:ind w:firstLine="360"/>
              <w:jc w:val="both"/>
              <w:rPr>
                <w:b/>
                <w:highlight w:val="lightGray"/>
              </w:rPr>
            </w:pPr>
            <w:r w:rsidRPr="007E57A5">
              <w:rPr>
                <w:b/>
                <w:highlight w:val="lightGray"/>
              </w:rPr>
              <w:t xml:space="preserve">         М.П.</w:t>
            </w:r>
          </w:p>
        </w:tc>
        <w:tc>
          <w:tcPr>
            <w:tcW w:w="720" w:type="dxa"/>
            <w:gridSpan w:val="2"/>
          </w:tcPr>
          <w:p w:rsidR="007C28B4" w:rsidRPr="007C28B4" w:rsidRDefault="007C28B4" w:rsidP="007C28B4">
            <w:pPr>
              <w:snapToGrid w:val="0"/>
              <w:ind w:firstLine="360"/>
              <w:jc w:val="center"/>
              <w:rPr>
                <w:b/>
              </w:rPr>
            </w:pPr>
          </w:p>
        </w:tc>
        <w:tc>
          <w:tcPr>
            <w:tcW w:w="4444" w:type="dxa"/>
            <w:gridSpan w:val="4"/>
          </w:tcPr>
          <w:p w:rsidR="007C28B4" w:rsidRPr="007E57A5" w:rsidRDefault="007C28B4" w:rsidP="007C28B4">
            <w:pPr>
              <w:snapToGrid w:val="0"/>
              <w:ind w:firstLine="360"/>
              <w:jc w:val="both"/>
              <w:rPr>
                <w:highlight w:val="lightGray"/>
              </w:rPr>
            </w:pPr>
            <w:r w:rsidRPr="007E57A5">
              <w:rPr>
                <w:b/>
                <w:highlight w:val="lightGray"/>
              </w:rPr>
              <w:t xml:space="preserve">            М.П.</w:t>
            </w:r>
          </w:p>
        </w:tc>
      </w:tr>
    </w:tbl>
    <w:p w:rsidR="006B7A15" w:rsidRPr="007C28B4" w:rsidRDefault="006B7A15" w:rsidP="007C28B4">
      <w:pPr>
        <w:rPr>
          <w:rFonts w:eastAsia="Arial Unicode MS"/>
          <w:lang w:eastAsia="en-US"/>
        </w:rPr>
      </w:pPr>
    </w:p>
    <w:sectPr w:rsidR="006B7A15" w:rsidRPr="007C28B4" w:rsidSect="00AB1AD1">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DD1"/>
    <w:multiLevelType w:val="hybridMultilevel"/>
    <w:tmpl w:val="81226FC2"/>
    <w:lvl w:ilvl="0" w:tplc="1E04DA68">
      <w:start w:val="1"/>
      <w:numFmt w:val="decimal"/>
      <w:lvlText w:val="%1."/>
      <w:lvlJc w:val="left"/>
      <w:pPr>
        <w:tabs>
          <w:tab w:val="num" w:pos="2104"/>
        </w:tabs>
        <w:ind w:left="2104" w:hanging="1170"/>
      </w:pPr>
      <w:rPr>
        <w:rFonts w:hint="default"/>
      </w:rPr>
    </w:lvl>
    <w:lvl w:ilvl="1" w:tplc="04190019" w:tentative="1">
      <w:start w:val="1"/>
      <w:numFmt w:val="lowerLetter"/>
      <w:lvlText w:val="%2."/>
      <w:lvlJc w:val="left"/>
      <w:pPr>
        <w:tabs>
          <w:tab w:val="num" w:pos="2014"/>
        </w:tabs>
        <w:ind w:left="2014" w:hanging="360"/>
      </w:pPr>
    </w:lvl>
    <w:lvl w:ilvl="2" w:tplc="0419001B" w:tentative="1">
      <w:start w:val="1"/>
      <w:numFmt w:val="lowerRoman"/>
      <w:lvlText w:val="%3."/>
      <w:lvlJc w:val="right"/>
      <w:pPr>
        <w:tabs>
          <w:tab w:val="num" w:pos="2734"/>
        </w:tabs>
        <w:ind w:left="2734" w:hanging="180"/>
      </w:pPr>
    </w:lvl>
    <w:lvl w:ilvl="3" w:tplc="0419000F" w:tentative="1">
      <w:start w:val="1"/>
      <w:numFmt w:val="decimal"/>
      <w:lvlText w:val="%4."/>
      <w:lvlJc w:val="left"/>
      <w:pPr>
        <w:tabs>
          <w:tab w:val="num" w:pos="3454"/>
        </w:tabs>
        <w:ind w:left="3454" w:hanging="360"/>
      </w:pPr>
    </w:lvl>
    <w:lvl w:ilvl="4" w:tplc="04190019" w:tentative="1">
      <w:start w:val="1"/>
      <w:numFmt w:val="lowerLetter"/>
      <w:lvlText w:val="%5."/>
      <w:lvlJc w:val="left"/>
      <w:pPr>
        <w:tabs>
          <w:tab w:val="num" w:pos="4174"/>
        </w:tabs>
        <w:ind w:left="4174" w:hanging="360"/>
      </w:pPr>
    </w:lvl>
    <w:lvl w:ilvl="5" w:tplc="0419001B" w:tentative="1">
      <w:start w:val="1"/>
      <w:numFmt w:val="lowerRoman"/>
      <w:lvlText w:val="%6."/>
      <w:lvlJc w:val="right"/>
      <w:pPr>
        <w:tabs>
          <w:tab w:val="num" w:pos="4894"/>
        </w:tabs>
        <w:ind w:left="4894" w:hanging="180"/>
      </w:pPr>
    </w:lvl>
    <w:lvl w:ilvl="6" w:tplc="0419000F" w:tentative="1">
      <w:start w:val="1"/>
      <w:numFmt w:val="decimal"/>
      <w:lvlText w:val="%7."/>
      <w:lvlJc w:val="left"/>
      <w:pPr>
        <w:tabs>
          <w:tab w:val="num" w:pos="5614"/>
        </w:tabs>
        <w:ind w:left="5614" w:hanging="360"/>
      </w:pPr>
    </w:lvl>
    <w:lvl w:ilvl="7" w:tplc="04190019" w:tentative="1">
      <w:start w:val="1"/>
      <w:numFmt w:val="lowerLetter"/>
      <w:lvlText w:val="%8."/>
      <w:lvlJc w:val="left"/>
      <w:pPr>
        <w:tabs>
          <w:tab w:val="num" w:pos="6334"/>
        </w:tabs>
        <w:ind w:left="6334" w:hanging="360"/>
      </w:pPr>
    </w:lvl>
    <w:lvl w:ilvl="8" w:tplc="0419001B" w:tentative="1">
      <w:start w:val="1"/>
      <w:numFmt w:val="lowerRoman"/>
      <w:lvlText w:val="%9."/>
      <w:lvlJc w:val="right"/>
      <w:pPr>
        <w:tabs>
          <w:tab w:val="num" w:pos="7054"/>
        </w:tabs>
        <w:ind w:left="7054" w:hanging="180"/>
      </w:pPr>
    </w:lvl>
  </w:abstractNum>
  <w:abstractNum w:abstractNumId="1">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75A2951"/>
    <w:multiLevelType w:val="hybridMultilevel"/>
    <w:tmpl w:val="76F4073C"/>
    <w:lvl w:ilvl="0" w:tplc="04190001">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8915FA0"/>
    <w:multiLevelType w:val="hybridMultilevel"/>
    <w:tmpl w:val="953ED3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3C3818"/>
    <w:multiLevelType w:val="hybridMultilevel"/>
    <w:tmpl w:val="57500F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18F53003"/>
    <w:multiLevelType w:val="hybridMultilevel"/>
    <w:tmpl w:val="2EC82F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03C57E6"/>
    <w:multiLevelType w:val="hybridMultilevel"/>
    <w:tmpl w:val="CA9A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CC5B91"/>
    <w:multiLevelType w:val="hybridMultilevel"/>
    <w:tmpl w:val="949832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D8863E7"/>
    <w:multiLevelType w:val="multilevel"/>
    <w:tmpl w:val="E7600730"/>
    <w:lvl w:ilvl="0">
      <w:start w:val="6"/>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2EEE0B25"/>
    <w:multiLevelType w:val="hybridMultilevel"/>
    <w:tmpl w:val="6B287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3F695F"/>
    <w:multiLevelType w:val="hybridMultilevel"/>
    <w:tmpl w:val="66C06A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1041CC"/>
    <w:multiLevelType w:val="hybridMultilevel"/>
    <w:tmpl w:val="EBEA15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35EB289B"/>
    <w:multiLevelType w:val="multilevel"/>
    <w:tmpl w:val="D5EC7F2C"/>
    <w:lvl w:ilvl="0">
      <w:start w:val="1"/>
      <w:numFmt w:val="decimal"/>
      <w:lvlText w:val="%1.0"/>
      <w:lvlJc w:val="left"/>
      <w:pPr>
        <w:ind w:left="1800" w:hanging="720"/>
      </w:pPr>
      <w:rPr>
        <w:rFonts w:hint="default"/>
      </w:rPr>
    </w:lvl>
    <w:lvl w:ilvl="1">
      <w:start w:val="1"/>
      <w:numFmt w:val="decimal"/>
      <w:lvlText w:val="%1.%2"/>
      <w:lvlJc w:val="left"/>
      <w:pPr>
        <w:ind w:left="2509" w:hanging="720"/>
      </w:pPr>
      <w:rPr>
        <w:rFonts w:hint="default"/>
      </w:rPr>
    </w:lvl>
    <w:lvl w:ilvl="2">
      <w:start w:val="1"/>
      <w:numFmt w:val="decimal"/>
      <w:lvlText w:val="%1.%2.%3"/>
      <w:lvlJc w:val="left"/>
      <w:pPr>
        <w:ind w:left="321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606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7843" w:hanging="1800"/>
      </w:pPr>
      <w:rPr>
        <w:rFonts w:hint="default"/>
      </w:rPr>
    </w:lvl>
    <w:lvl w:ilvl="8">
      <w:start w:val="1"/>
      <w:numFmt w:val="decimal"/>
      <w:lvlText w:val="%1.%2.%3.%4.%5.%6.%7.%8.%9"/>
      <w:lvlJc w:val="left"/>
      <w:pPr>
        <w:ind w:left="8912" w:hanging="2160"/>
      </w:pPr>
      <w:rPr>
        <w:rFonts w:hint="default"/>
      </w:rPr>
    </w:lvl>
  </w:abstractNum>
  <w:abstractNum w:abstractNumId="13">
    <w:nsid w:val="36982588"/>
    <w:multiLevelType w:val="hybridMultilevel"/>
    <w:tmpl w:val="F20EA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7623A5"/>
    <w:multiLevelType w:val="hybridMultilevel"/>
    <w:tmpl w:val="6CF446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3B9579B"/>
    <w:multiLevelType w:val="hybridMultilevel"/>
    <w:tmpl w:val="1BAA9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8E5400D"/>
    <w:multiLevelType w:val="hybridMultilevel"/>
    <w:tmpl w:val="CBE22896"/>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49C96D87"/>
    <w:multiLevelType w:val="multilevel"/>
    <w:tmpl w:val="4688527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4BC6329C"/>
    <w:multiLevelType w:val="hybridMultilevel"/>
    <w:tmpl w:val="A17CA2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EBF39F0"/>
    <w:multiLevelType w:val="multilevel"/>
    <w:tmpl w:val="181C2E98"/>
    <w:lvl w:ilvl="0">
      <w:start w:val="1"/>
      <w:numFmt w:val="decimal"/>
      <w:lvlText w:val="%1."/>
      <w:lvlJc w:val="left"/>
      <w:pPr>
        <w:ind w:left="720" w:hanging="360"/>
      </w:pPr>
      <w:rPr>
        <w:rFonts w:hint="default"/>
        <w:b/>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64E37EE"/>
    <w:multiLevelType w:val="hybridMultilevel"/>
    <w:tmpl w:val="D480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477271"/>
    <w:multiLevelType w:val="hybridMultilevel"/>
    <w:tmpl w:val="5E58C41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44155B4"/>
    <w:multiLevelType w:val="hybridMultilevel"/>
    <w:tmpl w:val="4A9841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4F84097"/>
    <w:multiLevelType w:val="hybridMultilevel"/>
    <w:tmpl w:val="275666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7851CA3"/>
    <w:multiLevelType w:val="hybridMultilevel"/>
    <w:tmpl w:val="A83A44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8E61A87"/>
    <w:multiLevelType w:val="hybridMultilevel"/>
    <w:tmpl w:val="7A00AF24"/>
    <w:lvl w:ilvl="0" w:tplc="4CEC5E70">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A754674"/>
    <w:multiLevelType w:val="multilevel"/>
    <w:tmpl w:val="0E38D8A8"/>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EC41EAB"/>
    <w:multiLevelType w:val="hybridMultilevel"/>
    <w:tmpl w:val="6B2CE9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F5230E6"/>
    <w:multiLevelType w:val="hybridMultilevel"/>
    <w:tmpl w:val="502C3D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9"/>
  </w:num>
  <w:num w:numId="4">
    <w:abstractNumId w:val="2"/>
  </w:num>
  <w:num w:numId="5">
    <w:abstractNumId w:val="5"/>
  </w:num>
  <w:num w:numId="6">
    <w:abstractNumId w:val="19"/>
  </w:num>
  <w:num w:numId="7">
    <w:abstractNumId w:val="10"/>
  </w:num>
  <w:num w:numId="8">
    <w:abstractNumId w:val="13"/>
  </w:num>
  <w:num w:numId="9">
    <w:abstractNumId w:val="3"/>
  </w:num>
  <w:num w:numId="10">
    <w:abstractNumId w:val="23"/>
  </w:num>
  <w:num w:numId="11">
    <w:abstractNumId w:val="0"/>
  </w:num>
  <w:num w:numId="12">
    <w:abstractNumId w:val="21"/>
  </w:num>
  <w:num w:numId="13">
    <w:abstractNumId w:val="18"/>
  </w:num>
  <w:num w:numId="14">
    <w:abstractNumId w:val="20"/>
  </w:num>
  <w:num w:numId="15">
    <w:abstractNumId w:val="17"/>
  </w:num>
  <w:num w:numId="16">
    <w:abstractNumId w:val="1"/>
  </w:num>
  <w:num w:numId="17">
    <w:abstractNumId w:val="28"/>
  </w:num>
  <w:num w:numId="18">
    <w:abstractNumId w:val="26"/>
  </w:num>
  <w:num w:numId="19">
    <w:abstractNumId w:val="25"/>
  </w:num>
  <w:num w:numId="20">
    <w:abstractNumId w:val="12"/>
  </w:num>
  <w:num w:numId="21">
    <w:abstractNumId w:val="8"/>
  </w:num>
  <w:num w:numId="22">
    <w:abstractNumId w:val="27"/>
  </w:num>
  <w:num w:numId="23">
    <w:abstractNumId w:val="14"/>
  </w:num>
  <w:num w:numId="24">
    <w:abstractNumId w:val="22"/>
  </w:num>
  <w:num w:numId="25">
    <w:abstractNumId w:val="6"/>
  </w:num>
  <w:num w:numId="26">
    <w:abstractNumId w:val="24"/>
  </w:num>
  <w:num w:numId="27">
    <w:abstractNumId w:val="15"/>
  </w:num>
  <w:num w:numId="28">
    <w:abstractNumId w:val="4"/>
  </w:num>
  <w:num w:numId="29">
    <w:abstractNumId w:val="1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C40"/>
    <w:rsid w:val="00003A14"/>
    <w:rsid w:val="00015357"/>
    <w:rsid w:val="00015C12"/>
    <w:rsid w:val="0004691B"/>
    <w:rsid w:val="00093BF7"/>
    <w:rsid w:val="000A751E"/>
    <w:rsid w:val="000B3A56"/>
    <w:rsid w:val="000B65BC"/>
    <w:rsid w:val="000C36FC"/>
    <w:rsid w:val="000C65E4"/>
    <w:rsid w:val="000F4AA1"/>
    <w:rsid w:val="00100030"/>
    <w:rsid w:val="001213B4"/>
    <w:rsid w:val="00132779"/>
    <w:rsid w:val="00132FDE"/>
    <w:rsid w:val="00152DC0"/>
    <w:rsid w:val="001722DC"/>
    <w:rsid w:val="001736D4"/>
    <w:rsid w:val="0017607C"/>
    <w:rsid w:val="001849F4"/>
    <w:rsid w:val="00190829"/>
    <w:rsid w:val="001A3ACB"/>
    <w:rsid w:val="001B2E64"/>
    <w:rsid w:val="001C48B2"/>
    <w:rsid w:val="001D3AA9"/>
    <w:rsid w:val="001D534E"/>
    <w:rsid w:val="001F05C7"/>
    <w:rsid w:val="00202B10"/>
    <w:rsid w:val="00203716"/>
    <w:rsid w:val="00205592"/>
    <w:rsid w:val="00205AB1"/>
    <w:rsid w:val="00212864"/>
    <w:rsid w:val="002276CE"/>
    <w:rsid w:val="0023477A"/>
    <w:rsid w:val="00280FD0"/>
    <w:rsid w:val="00281279"/>
    <w:rsid w:val="00286241"/>
    <w:rsid w:val="002A265F"/>
    <w:rsid w:val="002C12DA"/>
    <w:rsid w:val="002D1757"/>
    <w:rsid w:val="002D5E21"/>
    <w:rsid w:val="002F3E78"/>
    <w:rsid w:val="003049B5"/>
    <w:rsid w:val="00330E2D"/>
    <w:rsid w:val="00356EB2"/>
    <w:rsid w:val="00390E3F"/>
    <w:rsid w:val="003A1EF1"/>
    <w:rsid w:val="003A3A1B"/>
    <w:rsid w:val="003B28CF"/>
    <w:rsid w:val="003C2B57"/>
    <w:rsid w:val="003C7285"/>
    <w:rsid w:val="003F40FE"/>
    <w:rsid w:val="003F5044"/>
    <w:rsid w:val="004011B0"/>
    <w:rsid w:val="00404B25"/>
    <w:rsid w:val="00427411"/>
    <w:rsid w:val="004455A0"/>
    <w:rsid w:val="00446ADF"/>
    <w:rsid w:val="00451BCF"/>
    <w:rsid w:val="00460660"/>
    <w:rsid w:val="00461990"/>
    <w:rsid w:val="00462705"/>
    <w:rsid w:val="00464329"/>
    <w:rsid w:val="00465DCE"/>
    <w:rsid w:val="004845C3"/>
    <w:rsid w:val="00485816"/>
    <w:rsid w:val="00492E48"/>
    <w:rsid w:val="004A3609"/>
    <w:rsid w:val="004A3C05"/>
    <w:rsid w:val="004B20C3"/>
    <w:rsid w:val="004C7C9C"/>
    <w:rsid w:val="004E618B"/>
    <w:rsid w:val="004E643F"/>
    <w:rsid w:val="004F0F92"/>
    <w:rsid w:val="004F2237"/>
    <w:rsid w:val="004F2892"/>
    <w:rsid w:val="004F38F9"/>
    <w:rsid w:val="005124CC"/>
    <w:rsid w:val="005136E4"/>
    <w:rsid w:val="00515FB2"/>
    <w:rsid w:val="00527A51"/>
    <w:rsid w:val="005776C0"/>
    <w:rsid w:val="005C00C5"/>
    <w:rsid w:val="005D1755"/>
    <w:rsid w:val="005D1FF1"/>
    <w:rsid w:val="005F4968"/>
    <w:rsid w:val="005F5035"/>
    <w:rsid w:val="0060056E"/>
    <w:rsid w:val="006462EF"/>
    <w:rsid w:val="006801D8"/>
    <w:rsid w:val="006907EE"/>
    <w:rsid w:val="006A0817"/>
    <w:rsid w:val="006B7A15"/>
    <w:rsid w:val="006D551B"/>
    <w:rsid w:val="006E09D6"/>
    <w:rsid w:val="006E4412"/>
    <w:rsid w:val="00703B86"/>
    <w:rsid w:val="00720D20"/>
    <w:rsid w:val="00721E14"/>
    <w:rsid w:val="00731B21"/>
    <w:rsid w:val="007346B0"/>
    <w:rsid w:val="00742E88"/>
    <w:rsid w:val="0077352C"/>
    <w:rsid w:val="00777D67"/>
    <w:rsid w:val="00797FA2"/>
    <w:rsid w:val="007B2B53"/>
    <w:rsid w:val="007C28B4"/>
    <w:rsid w:val="007E561B"/>
    <w:rsid w:val="007E57A5"/>
    <w:rsid w:val="00802BA9"/>
    <w:rsid w:val="00806070"/>
    <w:rsid w:val="0081360D"/>
    <w:rsid w:val="00826242"/>
    <w:rsid w:val="00835310"/>
    <w:rsid w:val="00842371"/>
    <w:rsid w:val="00847ABE"/>
    <w:rsid w:val="00851AE3"/>
    <w:rsid w:val="00854242"/>
    <w:rsid w:val="00880855"/>
    <w:rsid w:val="00891177"/>
    <w:rsid w:val="008932AF"/>
    <w:rsid w:val="008A624F"/>
    <w:rsid w:val="0090562C"/>
    <w:rsid w:val="009065DB"/>
    <w:rsid w:val="00913927"/>
    <w:rsid w:val="00934001"/>
    <w:rsid w:val="00934D26"/>
    <w:rsid w:val="00937545"/>
    <w:rsid w:val="00937654"/>
    <w:rsid w:val="0094521C"/>
    <w:rsid w:val="00952993"/>
    <w:rsid w:val="009541B5"/>
    <w:rsid w:val="00983288"/>
    <w:rsid w:val="00983EBE"/>
    <w:rsid w:val="009873DF"/>
    <w:rsid w:val="009978E1"/>
    <w:rsid w:val="009A198F"/>
    <w:rsid w:val="009A4EEA"/>
    <w:rsid w:val="009A5061"/>
    <w:rsid w:val="009A5CF5"/>
    <w:rsid w:val="009C3B04"/>
    <w:rsid w:val="009E69B5"/>
    <w:rsid w:val="00A0188C"/>
    <w:rsid w:val="00A42A91"/>
    <w:rsid w:val="00A55103"/>
    <w:rsid w:val="00A620A2"/>
    <w:rsid w:val="00A63944"/>
    <w:rsid w:val="00A71761"/>
    <w:rsid w:val="00A7249D"/>
    <w:rsid w:val="00A9172D"/>
    <w:rsid w:val="00AA7369"/>
    <w:rsid w:val="00AA7669"/>
    <w:rsid w:val="00AB1AD1"/>
    <w:rsid w:val="00AB5AA2"/>
    <w:rsid w:val="00AB74DB"/>
    <w:rsid w:val="00AC53E1"/>
    <w:rsid w:val="00AE6028"/>
    <w:rsid w:val="00AE7C80"/>
    <w:rsid w:val="00B06DA0"/>
    <w:rsid w:val="00B26B71"/>
    <w:rsid w:val="00B53E96"/>
    <w:rsid w:val="00B545A0"/>
    <w:rsid w:val="00B62840"/>
    <w:rsid w:val="00B85431"/>
    <w:rsid w:val="00B85814"/>
    <w:rsid w:val="00B86E9B"/>
    <w:rsid w:val="00B91630"/>
    <w:rsid w:val="00BC4005"/>
    <w:rsid w:val="00BD4075"/>
    <w:rsid w:val="00BD674D"/>
    <w:rsid w:val="00C1252D"/>
    <w:rsid w:val="00C17DEC"/>
    <w:rsid w:val="00C20D39"/>
    <w:rsid w:val="00C35C1E"/>
    <w:rsid w:val="00C63046"/>
    <w:rsid w:val="00C66961"/>
    <w:rsid w:val="00C7721C"/>
    <w:rsid w:val="00C81699"/>
    <w:rsid w:val="00C9776F"/>
    <w:rsid w:val="00CA2636"/>
    <w:rsid w:val="00CA69F5"/>
    <w:rsid w:val="00CB2C40"/>
    <w:rsid w:val="00CB2FCB"/>
    <w:rsid w:val="00CB606F"/>
    <w:rsid w:val="00CC6D87"/>
    <w:rsid w:val="00CD60BB"/>
    <w:rsid w:val="00CD6E09"/>
    <w:rsid w:val="00CF41D9"/>
    <w:rsid w:val="00CF4F9D"/>
    <w:rsid w:val="00D03836"/>
    <w:rsid w:val="00D274A7"/>
    <w:rsid w:val="00D35B50"/>
    <w:rsid w:val="00D443AC"/>
    <w:rsid w:val="00D52CD2"/>
    <w:rsid w:val="00D54933"/>
    <w:rsid w:val="00D60B0E"/>
    <w:rsid w:val="00D64424"/>
    <w:rsid w:val="00D65ED7"/>
    <w:rsid w:val="00D82080"/>
    <w:rsid w:val="00D84945"/>
    <w:rsid w:val="00DA0425"/>
    <w:rsid w:val="00DB60C0"/>
    <w:rsid w:val="00DC2AE8"/>
    <w:rsid w:val="00DC5545"/>
    <w:rsid w:val="00DC6C01"/>
    <w:rsid w:val="00DD00A8"/>
    <w:rsid w:val="00DE3B10"/>
    <w:rsid w:val="00E240AA"/>
    <w:rsid w:val="00E243AC"/>
    <w:rsid w:val="00E3772D"/>
    <w:rsid w:val="00E73E04"/>
    <w:rsid w:val="00EC0C5A"/>
    <w:rsid w:val="00EC25E4"/>
    <w:rsid w:val="00EC4F69"/>
    <w:rsid w:val="00EC6B2E"/>
    <w:rsid w:val="00EC77BA"/>
    <w:rsid w:val="00EC7F9D"/>
    <w:rsid w:val="00EE32BD"/>
    <w:rsid w:val="00EF0CE2"/>
    <w:rsid w:val="00EF78F0"/>
    <w:rsid w:val="00F00AA9"/>
    <w:rsid w:val="00F01620"/>
    <w:rsid w:val="00F01FA4"/>
    <w:rsid w:val="00F06C6B"/>
    <w:rsid w:val="00F605D4"/>
    <w:rsid w:val="00F7381D"/>
    <w:rsid w:val="00F95072"/>
    <w:rsid w:val="00FA2A3B"/>
    <w:rsid w:val="00FB400C"/>
    <w:rsid w:val="00FD5F92"/>
    <w:rsid w:val="00FE5037"/>
    <w:rsid w:val="00FF0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6F"/>
    <w:rPr>
      <w:rFonts w:ascii="Times New Roman" w:eastAsia="Times New Roman" w:hAnsi="Times New Roman"/>
      <w:sz w:val="24"/>
      <w:szCs w:val="24"/>
    </w:rPr>
  </w:style>
  <w:style w:type="paragraph" w:styleId="1">
    <w:name w:val="heading 1"/>
    <w:basedOn w:val="a"/>
    <w:next w:val="a"/>
    <w:link w:val="10"/>
    <w:uiPriority w:val="99"/>
    <w:qFormat/>
    <w:rsid w:val="005D1755"/>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797FA2"/>
    <w:pPr>
      <w:keepNext/>
      <w:spacing w:before="240" w:after="60"/>
      <w:outlineLvl w:val="1"/>
    </w:pPr>
    <w:rPr>
      <w:rFonts w:ascii="Cambria" w:hAnsi="Cambria"/>
      <w:b/>
      <w:bCs/>
      <w:i/>
      <w:iCs/>
      <w:sz w:val="28"/>
      <w:szCs w:val="28"/>
    </w:rPr>
  </w:style>
  <w:style w:type="paragraph" w:styleId="3">
    <w:name w:val="heading 3"/>
    <w:basedOn w:val="a"/>
    <w:next w:val="a"/>
    <w:link w:val="30"/>
    <w:unhideWhenUsed/>
    <w:qFormat/>
    <w:locked/>
    <w:rsid w:val="00797FA2"/>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D1755"/>
    <w:rPr>
      <w:rFonts w:ascii="Cambria" w:hAnsi="Cambria" w:cs="Times New Roman"/>
      <w:b/>
      <w:bCs/>
      <w:color w:val="365F91"/>
      <w:sz w:val="28"/>
      <w:szCs w:val="28"/>
      <w:lang w:eastAsia="ru-RU"/>
    </w:rPr>
  </w:style>
  <w:style w:type="table" w:styleId="a3">
    <w:name w:val="Table Grid"/>
    <w:basedOn w:val="a1"/>
    <w:uiPriority w:val="99"/>
    <w:rsid w:val="00CB2C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CB2C40"/>
    <w:rPr>
      <w:sz w:val="22"/>
      <w:szCs w:val="22"/>
      <w:lang w:eastAsia="en-US"/>
    </w:rPr>
  </w:style>
  <w:style w:type="paragraph" w:styleId="a5">
    <w:name w:val="Balloon Text"/>
    <w:basedOn w:val="a"/>
    <w:link w:val="a6"/>
    <w:uiPriority w:val="99"/>
    <w:semiHidden/>
    <w:rsid w:val="00F01FA4"/>
    <w:rPr>
      <w:rFonts w:ascii="Tahoma" w:hAnsi="Tahoma" w:cs="Tahoma"/>
      <w:sz w:val="16"/>
      <w:szCs w:val="16"/>
    </w:rPr>
  </w:style>
  <w:style w:type="character" w:customStyle="1" w:styleId="a6">
    <w:name w:val="Текст выноски Знак"/>
    <w:link w:val="a5"/>
    <w:uiPriority w:val="99"/>
    <w:semiHidden/>
    <w:locked/>
    <w:rsid w:val="00F01FA4"/>
    <w:rPr>
      <w:rFonts w:ascii="Tahoma" w:hAnsi="Tahoma" w:cs="Tahoma"/>
      <w:sz w:val="16"/>
      <w:szCs w:val="16"/>
      <w:lang w:eastAsia="ru-RU"/>
    </w:rPr>
  </w:style>
  <w:style w:type="paragraph" w:styleId="a7">
    <w:name w:val="Body Text"/>
    <w:basedOn w:val="a"/>
    <w:link w:val="a8"/>
    <w:uiPriority w:val="99"/>
    <w:semiHidden/>
    <w:rsid w:val="00F01FA4"/>
    <w:pPr>
      <w:widowControl w:val="0"/>
      <w:shd w:val="clear" w:color="auto" w:fill="FFFFFF"/>
      <w:autoSpaceDE w:val="0"/>
      <w:autoSpaceDN w:val="0"/>
      <w:adjustRightInd w:val="0"/>
      <w:jc w:val="both"/>
    </w:pPr>
    <w:rPr>
      <w:color w:val="000000"/>
    </w:rPr>
  </w:style>
  <w:style w:type="character" w:customStyle="1" w:styleId="a8">
    <w:name w:val="Основной текст Знак"/>
    <w:link w:val="a7"/>
    <w:uiPriority w:val="99"/>
    <w:semiHidden/>
    <w:locked/>
    <w:rsid w:val="00F01FA4"/>
    <w:rPr>
      <w:rFonts w:ascii="Times New Roman" w:hAnsi="Times New Roman" w:cs="Times New Roman"/>
      <w:color w:val="000000"/>
      <w:sz w:val="24"/>
      <w:szCs w:val="24"/>
      <w:shd w:val="clear" w:color="auto" w:fill="FFFFFF"/>
      <w:lang w:eastAsia="ru-RU"/>
    </w:rPr>
  </w:style>
  <w:style w:type="paragraph" w:styleId="a9">
    <w:name w:val="List Paragraph"/>
    <w:basedOn w:val="a"/>
    <w:uiPriority w:val="99"/>
    <w:qFormat/>
    <w:rsid w:val="004845C3"/>
    <w:pPr>
      <w:ind w:left="720"/>
      <w:contextualSpacing/>
    </w:pPr>
  </w:style>
  <w:style w:type="character" w:customStyle="1" w:styleId="20">
    <w:name w:val="Заголовок 2 Знак"/>
    <w:link w:val="2"/>
    <w:rsid w:val="00797FA2"/>
    <w:rPr>
      <w:rFonts w:ascii="Cambria" w:eastAsia="Times New Roman" w:hAnsi="Cambria" w:cs="Times New Roman"/>
      <w:b/>
      <w:bCs/>
      <w:i/>
      <w:iCs/>
      <w:sz w:val="28"/>
      <w:szCs w:val="28"/>
    </w:rPr>
  </w:style>
  <w:style w:type="character" w:customStyle="1" w:styleId="30">
    <w:name w:val="Заголовок 3 Знак"/>
    <w:link w:val="3"/>
    <w:rsid w:val="00797FA2"/>
    <w:rPr>
      <w:rFonts w:ascii="Cambria" w:eastAsia="Times New Roman" w:hAnsi="Cambria" w:cs="Times New Roman"/>
      <w:b/>
      <w:bCs/>
      <w:sz w:val="26"/>
      <w:szCs w:val="26"/>
    </w:rPr>
  </w:style>
  <w:style w:type="character" w:styleId="aa">
    <w:name w:val="Strong"/>
    <w:qFormat/>
    <w:locked/>
    <w:rsid w:val="00797FA2"/>
    <w:rPr>
      <w:b/>
      <w:bCs/>
    </w:rPr>
  </w:style>
  <w:style w:type="paragraph" w:styleId="ab">
    <w:name w:val="Body Text Indent"/>
    <w:basedOn w:val="a"/>
    <w:link w:val="ac"/>
    <w:uiPriority w:val="99"/>
    <w:semiHidden/>
    <w:unhideWhenUsed/>
    <w:rsid w:val="007C28B4"/>
    <w:pPr>
      <w:spacing w:after="120"/>
      <w:ind w:left="283"/>
    </w:pPr>
  </w:style>
  <w:style w:type="character" w:customStyle="1" w:styleId="ac">
    <w:name w:val="Основной текст с отступом Знак"/>
    <w:link w:val="ab"/>
    <w:uiPriority w:val="99"/>
    <w:semiHidden/>
    <w:rsid w:val="007C28B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2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richAV@mng.slavnef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2522</Words>
  <Characters>14379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Targoniy</dc:creator>
  <cp:lastModifiedBy>Александр Васильевич Катрич</cp:lastModifiedBy>
  <cp:revision>2</cp:revision>
  <cp:lastPrinted>2014-10-20T10:21:00Z</cp:lastPrinted>
  <dcterms:created xsi:type="dcterms:W3CDTF">2016-01-19T09:37:00Z</dcterms:created>
  <dcterms:modified xsi:type="dcterms:W3CDTF">2016-01-19T09:37:00Z</dcterms:modified>
</cp:coreProperties>
</file>