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  <w:bookmarkStart w:id="0" w:name="_GoBack"/>
      <w:bookmarkEnd w:id="0"/>
    </w:p>
    <w:p w:rsidR="00ED5B35" w:rsidRPr="00844F46" w:rsidRDefault="00ED5B35" w:rsidP="00ED5B35"/>
    <w:p w:rsidR="00ED5B35" w:rsidRPr="00DC7621" w:rsidRDefault="00062CE1" w:rsidP="0005017D">
      <w:pPr>
        <w:ind w:left="4956" w:firstLine="708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 xml:space="preserve">Приложение № </w:t>
      </w:r>
      <w:r w:rsidR="00E23EF3">
        <w:rPr>
          <w:rFonts w:ascii="Arial" w:hAnsi="Arial" w:cs="Arial"/>
          <w:sz w:val="24"/>
          <w:szCs w:val="24"/>
          <w:highlight w:val="lightGray"/>
        </w:rPr>
        <w:t>14</w:t>
      </w:r>
    </w:p>
    <w:p w:rsidR="00ED5B35" w:rsidRPr="00DC7621" w:rsidRDefault="00ED5B35" w:rsidP="0005017D">
      <w:pPr>
        <w:widowControl w:val="0"/>
        <w:ind w:left="4956" w:firstLine="708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ED5B35" w:rsidRDefault="00ED5B35" w:rsidP="0005017D">
      <w:pPr>
        <w:widowControl w:val="0"/>
        <w:ind w:left="4956" w:firstLine="708"/>
        <w:outlineLvl w:val="0"/>
        <w:rPr>
          <w:rFonts w:ascii="Arial" w:hAnsi="Arial" w:cs="Arial"/>
          <w:sz w:val="24"/>
          <w:szCs w:val="24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>от __.__.____</w:t>
      </w: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05017D">
        <w:rPr>
          <w:rFonts w:ascii="Arial" w:hAnsi="Arial" w:cs="Arial"/>
          <w:b/>
          <w:sz w:val="24"/>
          <w:szCs w:val="24"/>
        </w:rPr>
        <w:t xml:space="preserve">                    </w:t>
      </w:r>
      <w:r w:rsidRPr="006E64AE">
        <w:rPr>
          <w:rFonts w:ascii="Arial" w:hAnsi="Arial" w:cs="Arial"/>
          <w:b/>
          <w:sz w:val="24"/>
          <w:szCs w:val="24"/>
        </w:rPr>
        <w:t xml:space="preserve"> «    » _______ 20__ г.</w:t>
      </w:r>
    </w:p>
    <w:p w:rsid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</w:p>
    <w:p w:rsidR="002572D2" w:rsidRPr="0005017D" w:rsidRDefault="002572D2" w:rsidP="0005017D">
      <w:pPr>
        <w:jc w:val="center"/>
        <w:rPr>
          <w:rFonts w:ascii="Arial" w:hAnsi="Arial" w:cs="Arial"/>
          <w:b/>
          <w:sz w:val="24"/>
          <w:szCs w:val="24"/>
        </w:rPr>
      </w:pPr>
      <w:r w:rsidRPr="002572D2">
        <w:rPr>
          <w:rFonts w:ascii="Arial" w:hAnsi="Arial" w:cs="Arial"/>
          <w:b/>
          <w:sz w:val="24"/>
          <w:szCs w:val="24"/>
        </w:rPr>
        <w:t>АНТИКОРРУПЦИОНН</w:t>
      </w:r>
      <w:r w:rsidR="003656E0">
        <w:rPr>
          <w:rFonts w:ascii="Arial" w:hAnsi="Arial" w:cs="Arial"/>
          <w:b/>
          <w:sz w:val="24"/>
          <w:szCs w:val="24"/>
        </w:rPr>
        <w:t>АЯ</w:t>
      </w:r>
      <w:r w:rsidRPr="002572D2">
        <w:rPr>
          <w:rFonts w:ascii="Arial" w:hAnsi="Arial" w:cs="Arial"/>
          <w:b/>
          <w:sz w:val="24"/>
          <w:szCs w:val="24"/>
        </w:rPr>
        <w:t xml:space="preserve"> </w:t>
      </w:r>
      <w:r w:rsidR="003656E0">
        <w:rPr>
          <w:rFonts w:ascii="Arial" w:hAnsi="Arial" w:cs="Arial"/>
          <w:b/>
          <w:sz w:val="24"/>
          <w:szCs w:val="24"/>
        </w:rPr>
        <w:t>ОГОВОРКА</w:t>
      </w:r>
    </w:p>
    <w:p w:rsidR="00ED5B35" w:rsidRPr="006E64AE" w:rsidRDefault="00ED5B35" w:rsidP="00ED5B35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</w:p>
    <w:p w:rsidR="00ED5B35" w:rsidRPr="006E64AE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r>
        <w:rPr>
          <w:rFonts w:ascii="Arial" w:hAnsi="Arial" w:cs="Arial"/>
          <w:sz w:val="24"/>
          <w:szCs w:val="24"/>
        </w:rPr>
        <w:t>Славнефть-Мегионнефтегаз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 с другой стороны,</w:t>
      </w:r>
    </w:p>
    <w:p w:rsidR="00ED5B35" w:rsidRPr="006E64AE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ED5B35" w:rsidRPr="006E64AE" w:rsidRDefault="00ED5B35" w:rsidP="00ED5B35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Pr="006E64AE">
        <w:rPr>
          <w:rFonts w:ascii="Arial" w:hAnsi="Arial" w:cs="Arial"/>
          <w:szCs w:val="24"/>
          <w:lang w:val="ru-RU"/>
        </w:rPr>
        <w:lastRenderedPageBreak/>
        <w:t>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 действиями работ</w:t>
      </w:r>
      <w:r w:rsidR="008818D3">
        <w:rPr>
          <w:rFonts w:ascii="Arial" w:hAnsi="Arial" w:cs="Arial"/>
          <w:sz w:val="24"/>
          <w:szCs w:val="24"/>
        </w:rPr>
        <w:t>ни</w:t>
      </w:r>
      <w:r>
        <w:rPr>
          <w:rFonts w:ascii="Arial" w:hAnsi="Arial" w:cs="Arial"/>
          <w:sz w:val="24"/>
          <w:szCs w:val="24"/>
        </w:rPr>
        <w:t>ка, осуществляемыми в пользу стимулирующей его Стороны понимаются: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9E17CC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ED5B35" w:rsidRPr="009E17CC" w:rsidRDefault="00ED5B35" w:rsidP="0005017D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ED5B35" w:rsidRPr="009C034D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D60DB7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</w:rPr>
                  </w:pPr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 xml:space="preserve">, именуемое в </w:t>
                  </w:r>
                  <w:r w:rsidRPr="00D60DB7">
                    <w:rPr>
                      <w:rFonts w:ascii="Arial" w:hAnsi="Arial" w:cs="Arial"/>
                    </w:rPr>
                    <w:lastRenderedPageBreak/>
                    <w:t>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</w:p>
              </w:tc>
            </w:tr>
            <w:tr w:rsidR="00ED5B35" w:rsidRPr="00D60DB7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4945EF" w:rsidRDefault="00ED5B35" w:rsidP="00CA631D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ED5B35" w:rsidRPr="00D60DB7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(наименование,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реквизиты)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D60DB7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4945EF" w:rsidRDefault="00ED5B35" w:rsidP="00CA631D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D60DB7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05017D" w:rsidRDefault="00ED5B35" w:rsidP="0005017D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3314E7" w:rsidRDefault="003314E7" w:rsidP="003314E7">
      <w:pPr>
        <w:shd w:val="clear" w:color="auto" w:fill="FFFFFF"/>
        <w:tabs>
          <w:tab w:val="center" w:pos="4961"/>
        </w:tabs>
        <w:spacing w:before="180" w:after="60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Подрядчик: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Заказчик:</w:t>
      </w:r>
    </w:p>
    <w:p w:rsidR="00ED5B35" w:rsidRPr="0005017D" w:rsidRDefault="0005017D" w:rsidP="0005017D">
      <w:pPr>
        <w:pStyle w:val="ConsNonformat"/>
        <w:widowControl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>Наименование Подрядчика</w:t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  <w:t>ОАО «СН-МНГ»</w:t>
      </w:r>
    </w:p>
    <w:p w:rsidR="00396D7C" w:rsidRPr="00396D7C" w:rsidRDefault="00396D7C" w:rsidP="00ED5B35">
      <w:pPr>
        <w:pStyle w:val="ConsNonformat"/>
        <w:widowControl/>
        <w:rPr>
          <w:rFonts w:ascii="Arial" w:hAnsi="Arial" w:cs="Arial"/>
          <w:sz w:val="24"/>
          <w:szCs w:val="24"/>
          <w:u w:val="single"/>
        </w:rPr>
      </w:pP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(Должность)</w:t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(Должность</w:t>
      </w:r>
      <w:r w:rsidRPr="00396D7C">
        <w:rPr>
          <w:rFonts w:ascii="Arial" w:hAnsi="Arial" w:cs="Arial"/>
          <w:sz w:val="24"/>
          <w:szCs w:val="24"/>
          <w:u w:val="single"/>
        </w:rPr>
        <w:t>)</w:t>
      </w:r>
    </w:p>
    <w:p w:rsidR="00ED5B35" w:rsidRPr="00AF638B" w:rsidRDefault="00396D7C" w:rsidP="00ED5B35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 xml:space="preserve">Ф.И.О. </w:t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Ф.И.О.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</w:p>
    <w:sectPr w:rsidR="00ED5B35" w:rsidRPr="00AF638B" w:rsidSect="00615F3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5017D"/>
    <w:rsid w:val="00062CE1"/>
    <w:rsid w:val="00087D02"/>
    <w:rsid w:val="000B0F70"/>
    <w:rsid w:val="002572D2"/>
    <w:rsid w:val="003314E7"/>
    <w:rsid w:val="0035360E"/>
    <w:rsid w:val="003656E0"/>
    <w:rsid w:val="00367B71"/>
    <w:rsid w:val="00396D7C"/>
    <w:rsid w:val="003D5278"/>
    <w:rsid w:val="003E5207"/>
    <w:rsid w:val="004242F2"/>
    <w:rsid w:val="00532C4F"/>
    <w:rsid w:val="005A73B0"/>
    <w:rsid w:val="005F652F"/>
    <w:rsid w:val="00615F31"/>
    <w:rsid w:val="006B7F94"/>
    <w:rsid w:val="006C1ECF"/>
    <w:rsid w:val="006D0ABA"/>
    <w:rsid w:val="006E223E"/>
    <w:rsid w:val="00851967"/>
    <w:rsid w:val="00854E48"/>
    <w:rsid w:val="008818D3"/>
    <w:rsid w:val="008A7BB8"/>
    <w:rsid w:val="00914A62"/>
    <w:rsid w:val="00947A53"/>
    <w:rsid w:val="00977ADA"/>
    <w:rsid w:val="00985998"/>
    <w:rsid w:val="00A369A3"/>
    <w:rsid w:val="00B60674"/>
    <w:rsid w:val="00B647AB"/>
    <w:rsid w:val="00BC4E38"/>
    <w:rsid w:val="00CA0805"/>
    <w:rsid w:val="00D05420"/>
    <w:rsid w:val="00D36CC1"/>
    <w:rsid w:val="00D749E5"/>
    <w:rsid w:val="00DC7621"/>
    <w:rsid w:val="00E15728"/>
    <w:rsid w:val="00E23EF3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Александр Васильевич Катрич</cp:lastModifiedBy>
  <cp:revision>2</cp:revision>
  <dcterms:created xsi:type="dcterms:W3CDTF">2016-01-19T09:38:00Z</dcterms:created>
  <dcterms:modified xsi:type="dcterms:W3CDTF">2016-01-19T09:38:00Z</dcterms:modified>
</cp:coreProperties>
</file>