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B11F3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E169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</w:t>
            </w:r>
            <w:r w:rsidR="00EE1690">
              <w:rPr>
                <w:rFonts w:ascii="Times New Roman" w:hAnsi="Times New Roman"/>
                <w:sz w:val="24"/>
              </w:rPr>
              <w:t>323</w:t>
            </w:r>
            <w:r w:rsidRPr="000127F9">
              <w:rPr>
                <w:rFonts w:ascii="Times New Roman" w:hAnsi="Times New Roman"/>
                <w:sz w:val="24"/>
              </w:rPr>
              <w:t>________</w:t>
            </w:r>
          </w:p>
        </w:tc>
      </w:tr>
      <w:tr w:rsidR="00203261" w:rsidRPr="000127F9" w:rsidTr="00B11F3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EE1690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</w:t>
            </w:r>
            <w:r w:rsidR="00EE1690">
              <w:rPr>
                <w:rFonts w:ascii="Times New Roman" w:hAnsi="Times New Roman"/>
                <w:sz w:val="24"/>
              </w:rPr>
              <w:t>15</w:t>
            </w:r>
            <w:r w:rsidRPr="000127F9">
              <w:rPr>
                <w:rFonts w:ascii="Times New Roman" w:hAnsi="Times New Roman"/>
                <w:sz w:val="24"/>
              </w:rPr>
              <w:t>_» ___</w:t>
            </w:r>
            <w:r w:rsidR="00EE1690">
              <w:rPr>
                <w:rFonts w:ascii="Times New Roman" w:hAnsi="Times New Roman"/>
                <w:sz w:val="24"/>
              </w:rPr>
              <w:t>10</w:t>
            </w:r>
            <w:r w:rsidRPr="000127F9">
              <w:rPr>
                <w:rFonts w:ascii="Times New Roman" w:hAnsi="Times New Roman"/>
                <w:sz w:val="24"/>
              </w:rPr>
              <w:t>______  _</w:t>
            </w:r>
            <w:r w:rsidR="00EE1690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ПДО </w:t>
      </w:r>
      <w:r w:rsidRPr="00A82139">
        <w:rPr>
          <w:rFonts w:ascii="Times New Roman" w:hAnsi="Times New Roman"/>
          <w:b/>
          <w:sz w:val="24"/>
        </w:rPr>
        <w:t>№</w:t>
      </w:r>
      <w:r w:rsidR="00C35524" w:rsidRPr="00723883">
        <w:rPr>
          <w:rFonts w:ascii="Times New Roman" w:hAnsi="Times New Roman"/>
          <w:b/>
          <w:sz w:val="24"/>
        </w:rPr>
        <w:t>6</w:t>
      </w:r>
      <w:r w:rsidR="00924BE5" w:rsidRPr="00EE1690">
        <w:rPr>
          <w:rFonts w:ascii="Times New Roman" w:hAnsi="Times New Roman"/>
          <w:b/>
          <w:sz w:val="24"/>
        </w:rPr>
        <w:t>81</w:t>
      </w:r>
      <w:r w:rsidR="00EA7411" w:rsidRPr="00A82139">
        <w:rPr>
          <w:rFonts w:ascii="Times New Roman" w:hAnsi="Times New Roman"/>
          <w:b/>
          <w:sz w:val="24"/>
        </w:rPr>
        <w:t>/ТК/2014г</w:t>
      </w:r>
      <w:r w:rsidR="00EA7411" w:rsidRPr="007F74A6">
        <w:rPr>
          <w:rFonts w:ascii="Times New Roman" w:hAnsi="Times New Roman"/>
          <w:b/>
          <w:sz w:val="24"/>
        </w:rPr>
        <w:t xml:space="preserve">. от </w:t>
      </w:r>
      <w:r w:rsidR="007F74A6" w:rsidRPr="007F74A6">
        <w:rPr>
          <w:rFonts w:ascii="Times New Roman" w:hAnsi="Times New Roman"/>
          <w:b/>
          <w:sz w:val="24"/>
        </w:rPr>
        <w:t xml:space="preserve"> </w:t>
      </w:r>
      <w:r w:rsidR="00EE1690">
        <w:rPr>
          <w:rFonts w:ascii="Times New Roman" w:hAnsi="Times New Roman"/>
          <w:b/>
          <w:sz w:val="24"/>
        </w:rPr>
        <w:t>15.10.</w:t>
      </w:r>
      <w:r w:rsidRPr="007F74A6">
        <w:rPr>
          <w:rFonts w:ascii="Times New Roman" w:hAnsi="Times New Roman"/>
          <w:b/>
          <w:sz w:val="24"/>
        </w:rPr>
        <w:t>2014г.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7D3874" w:rsidRDefault="0055651B" w:rsidP="00B86E53">
      <w:pPr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</w:t>
      </w:r>
      <w:r w:rsidR="007D3874" w:rsidRPr="000127F9">
        <w:rPr>
          <w:rFonts w:ascii="Times New Roman" w:hAnsi="Times New Roman"/>
          <w:sz w:val="24"/>
        </w:rPr>
        <w:t xml:space="preserve">выполнение работ </w:t>
      </w:r>
      <w:r w:rsidRPr="000127F9">
        <w:rPr>
          <w:rFonts w:ascii="Times New Roman" w:hAnsi="Times New Roman"/>
          <w:sz w:val="24"/>
        </w:rPr>
        <w:t xml:space="preserve">по </w:t>
      </w:r>
      <w:r w:rsidRPr="007D3874">
        <w:rPr>
          <w:rFonts w:ascii="Times New Roman" w:hAnsi="Times New Roman"/>
          <w:sz w:val="24"/>
        </w:rPr>
        <w:t>тип</w:t>
      </w:r>
      <w:r w:rsidR="00B86E53">
        <w:rPr>
          <w:rFonts w:ascii="Times New Roman" w:hAnsi="Times New Roman"/>
          <w:sz w:val="24"/>
        </w:rPr>
        <w:t>у</w:t>
      </w:r>
      <w:r w:rsidRPr="007D3874">
        <w:rPr>
          <w:rFonts w:ascii="Times New Roman" w:hAnsi="Times New Roman"/>
          <w:sz w:val="24"/>
        </w:rPr>
        <w:t xml:space="preserve"> сделк</w:t>
      </w:r>
      <w:r w:rsidR="00B86E53">
        <w:rPr>
          <w:rFonts w:ascii="Times New Roman" w:hAnsi="Times New Roman"/>
          <w:sz w:val="24"/>
        </w:rPr>
        <w:t xml:space="preserve">и </w:t>
      </w:r>
      <w:r w:rsidR="002C3E39">
        <w:rPr>
          <w:rFonts w:ascii="Times New Roman" w:hAnsi="Times New Roman"/>
          <w:b/>
          <w:sz w:val="24"/>
        </w:rPr>
        <w:t>1</w:t>
      </w:r>
      <w:r w:rsidR="00723883" w:rsidRPr="00723883">
        <w:rPr>
          <w:rFonts w:ascii="Times New Roman" w:hAnsi="Times New Roman"/>
          <w:b/>
          <w:sz w:val="24"/>
        </w:rPr>
        <w:t>202</w:t>
      </w:r>
      <w:r w:rsidR="007D3874" w:rsidRPr="007D3874">
        <w:rPr>
          <w:rFonts w:ascii="Times New Roman" w:hAnsi="Times New Roman"/>
          <w:b/>
          <w:sz w:val="24"/>
        </w:rPr>
        <w:t xml:space="preserve"> </w:t>
      </w:r>
      <w:r w:rsidR="007D3874" w:rsidRPr="007D3874">
        <w:rPr>
          <w:rFonts w:ascii="Times New Roman" w:hAnsi="Times New Roman"/>
          <w:b/>
          <w:sz w:val="24"/>
          <w:u w:val="single"/>
        </w:rPr>
        <w:t>«</w:t>
      </w:r>
      <w:r w:rsidR="00723883" w:rsidRPr="00723883">
        <w:rPr>
          <w:rFonts w:ascii="Times New Roman" w:hAnsi="Times New Roman"/>
          <w:b/>
          <w:sz w:val="23"/>
          <w:szCs w:val="23"/>
          <w:u w:val="single"/>
        </w:rPr>
        <w:t>Разработка нормативной документации</w:t>
      </w:r>
      <w:r w:rsidR="007D3874" w:rsidRPr="007D3874">
        <w:rPr>
          <w:rFonts w:ascii="Times New Roman" w:hAnsi="Times New Roman"/>
          <w:b/>
          <w:sz w:val="24"/>
          <w:u w:val="single"/>
        </w:rPr>
        <w:t>»</w:t>
      </w:r>
      <w:r w:rsidRPr="007D3874">
        <w:rPr>
          <w:rFonts w:ascii="Times New Roman" w:hAnsi="Times New Roman"/>
          <w:b/>
          <w:sz w:val="24"/>
          <w:u w:val="single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определит контрагента (</w:t>
      </w:r>
      <w:proofErr w:type="spellStart"/>
      <w:r w:rsidRPr="000127F9">
        <w:rPr>
          <w:rFonts w:ascii="Times New Roman" w:hAnsi="Times New Roman"/>
          <w:sz w:val="24"/>
        </w:rPr>
        <w:t>ов</w:t>
      </w:r>
      <w:proofErr w:type="spellEnd"/>
      <w:r w:rsidRPr="000127F9">
        <w:rPr>
          <w:rFonts w:ascii="Times New Roman" w:hAnsi="Times New Roman"/>
          <w:sz w:val="24"/>
        </w:rPr>
        <w:t>), с которым (</w:t>
      </w:r>
      <w:proofErr w:type="spellStart"/>
      <w:r w:rsidRPr="000127F9">
        <w:rPr>
          <w:rFonts w:ascii="Times New Roman" w:hAnsi="Times New Roman"/>
          <w:sz w:val="24"/>
        </w:rPr>
        <w:t>ыми</w:t>
      </w:r>
      <w:proofErr w:type="spellEnd"/>
      <w:r w:rsidRPr="000127F9">
        <w:rPr>
          <w:rFonts w:ascii="Times New Roman" w:hAnsi="Times New Roman"/>
          <w:sz w:val="24"/>
        </w:rPr>
        <w:t xml:space="preserve">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33159">
        <w:rPr>
          <w:rFonts w:ascii="Times New Roman" w:hAnsi="Times New Roman"/>
          <w:sz w:val="24"/>
        </w:rPr>
        <w:t xml:space="preserve">Формой </w:t>
      </w:r>
      <w:r w:rsidR="00203261" w:rsidRPr="00433159">
        <w:rPr>
          <w:rFonts w:ascii="Times New Roman" w:hAnsi="Times New Roman"/>
          <w:sz w:val="24"/>
        </w:rPr>
        <w:t>4</w:t>
      </w:r>
      <w:r w:rsidR="00F5518B" w:rsidRPr="00F5518B">
        <w:rPr>
          <w:rFonts w:ascii="Times New Roman" w:hAnsi="Times New Roman"/>
          <w:sz w:val="24"/>
        </w:rPr>
        <w:t xml:space="preserve"> </w:t>
      </w:r>
      <w:r w:rsidR="00203261" w:rsidRPr="000127F9">
        <w:rPr>
          <w:rFonts w:ascii="Times New Roman" w:hAnsi="Times New Roman"/>
          <w:sz w:val="24"/>
        </w:rPr>
        <w:t>(наименьшая цена и проч.).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03261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03261" w:rsidRPr="007B7AAC" w:rsidRDefault="006F47E3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Отбор проводится в </w:t>
      </w:r>
      <w:r w:rsidR="00203261" w:rsidRPr="000127F9">
        <w:rPr>
          <w:rFonts w:ascii="Times New Roman" w:hAnsi="Times New Roman"/>
          <w:sz w:val="24"/>
        </w:rPr>
        <w:t xml:space="preserve">два этапа: </w:t>
      </w:r>
      <w:r w:rsidR="00203261" w:rsidRPr="007B7AAC">
        <w:rPr>
          <w:rFonts w:ascii="Times New Roman" w:hAnsi="Times New Roman"/>
          <w:b/>
          <w:sz w:val="24"/>
        </w:rPr>
        <w:t>оценка технической части оферт и оценка коммерческой части оферт.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После этапа оценки коммерческой части оферт будут запрошены улучшенные коммерческие части оферт</w:t>
      </w:r>
      <w:r w:rsidR="00E17768" w:rsidRPr="000127F9">
        <w:rPr>
          <w:rFonts w:ascii="Times New Roman" w:hAnsi="Times New Roman" w:cs="Times New Roman"/>
          <w:sz w:val="24"/>
          <w:szCs w:val="24"/>
        </w:rPr>
        <w:t>.</w:t>
      </w:r>
      <w:r w:rsidR="00203261" w:rsidRPr="000127F9">
        <w:rPr>
          <w:rFonts w:ascii="Times New Roman" w:hAnsi="Times New Roman" w:cs="Times New Roman"/>
          <w:sz w:val="24"/>
          <w:szCs w:val="24"/>
        </w:rPr>
        <w:t xml:space="preserve"> Участники, получившие уведомления об улучшении коммерческих частей оферт, должны в течение 2 рабочих дней представить откорректированные, с учетом новых предложений, документы, определяющие оферту (в </w:t>
      </w:r>
      <w:proofErr w:type="spellStart"/>
      <w:r w:rsidR="00203261" w:rsidRPr="000127F9">
        <w:rPr>
          <w:rFonts w:ascii="Times New Roman" w:hAnsi="Times New Roman" w:cs="Times New Roman"/>
          <w:sz w:val="24"/>
          <w:szCs w:val="24"/>
        </w:rPr>
        <w:t>т.ч</w:t>
      </w:r>
      <w:proofErr w:type="spellEnd"/>
      <w:r w:rsidR="00203261" w:rsidRPr="000127F9">
        <w:rPr>
          <w:rFonts w:ascii="Times New Roman" w:hAnsi="Times New Roman" w:cs="Times New Roman"/>
          <w:sz w:val="24"/>
          <w:szCs w:val="24"/>
        </w:rPr>
        <w:t>. сметы), в порядке, предусмотренном для подачи оферт. Если участник не предоставит улучшенную коммерческую часть оферты, действующей будет считаться первоначально поданная оферта.</w:t>
      </w:r>
    </w:p>
    <w:p w:rsidR="00203261" w:rsidRPr="000127F9" w:rsidRDefault="00A64528" w:rsidP="000127F9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203261" w:rsidRPr="000127F9">
        <w:rPr>
          <w:rFonts w:ascii="Times New Roman" w:hAnsi="Times New Roman" w:cs="Times New Roman"/>
          <w:sz w:val="24"/>
          <w:szCs w:val="24"/>
        </w:rPr>
        <w:t>При подготовке и предоставлении улучшенных коммерческих частей оферт не допускается ухудшение первоначально поданных оферт, в том числе по отдельным позициям оферты (в том числе, смет). Оферты, не удовлетворяющие указанным требованиям, не будут рассмотрены как улучшенные, при этом действующей будет считаться первоначально поданная оферта.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должна быть представлена на всю номенклатуру работ/услуг, указанных в  техническом задании.</w:t>
      </w:r>
    </w:p>
    <w:p w:rsidR="000022DD" w:rsidRPr="00195D98" w:rsidRDefault="00E17768" w:rsidP="00195D9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0127F9">
      <w:pPr>
        <w:pStyle w:val="ab"/>
        <w:numPr>
          <w:ilvl w:val="0"/>
          <w:numId w:val="3"/>
        </w:numPr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заполненная </w:t>
      </w:r>
      <w:r w:rsidRPr="00C10BEF">
        <w:rPr>
          <w:rFonts w:ascii="Times New Roman" w:hAnsi="Times New Roman"/>
          <w:sz w:val="24"/>
        </w:rPr>
        <w:t xml:space="preserve">Таблица цен (Форма 4) </w:t>
      </w:r>
      <w:r w:rsidRPr="000127F9">
        <w:rPr>
          <w:rFonts w:ascii="Times New Roman" w:hAnsi="Times New Roman"/>
          <w:sz w:val="24"/>
        </w:rPr>
        <w:t>в соответствии с Требованиями к предмету оферты (Форма 5);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875B06" w:rsidRPr="000127F9" w:rsidRDefault="00875B06" w:rsidP="009D0283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F24F77" w:rsidRPr="00F24F77" w:rsidRDefault="00F24F77" w:rsidP="00F24F77">
      <w:pPr>
        <w:numPr>
          <w:ilvl w:val="0"/>
          <w:numId w:val="2"/>
        </w:numPr>
        <w:tabs>
          <w:tab w:val="clear" w:pos="1428"/>
          <w:tab w:val="num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9D0283">
        <w:rPr>
          <w:rFonts w:ascii="Times New Roman" w:hAnsi="Times New Roman"/>
          <w:sz w:val="24"/>
        </w:rPr>
        <w:t>калькуляция, заполненная и подписанная с расшифровками по статьям затрат</w:t>
      </w:r>
      <w:r w:rsidR="00212BE7">
        <w:rPr>
          <w:rFonts w:ascii="Times New Roman" w:hAnsi="Times New Roman"/>
          <w:sz w:val="24"/>
        </w:rPr>
        <w:t xml:space="preserve"> (Форма 8</w:t>
      </w:r>
      <w:r w:rsidRPr="009D0283">
        <w:rPr>
          <w:rFonts w:ascii="Times New Roman" w:hAnsi="Times New Roman"/>
          <w:sz w:val="24"/>
        </w:rPr>
        <w:t>);</w:t>
      </w:r>
    </w:p>
    <w:p w:rsidR="000123F7" w:rsidRPr="000123F7" w:rsidRDefault="00875B06" w:rsidP="000123F7">
      <w:pPr>
        <w:pStyle w:val="ab"/>
        <w:numPr>
          <w:ilvl w:val="0"/>
          <w:numId w:val="2"/>
        </w:numPr>
        <w:tabs>
          <w:tab w:val="clear" w:pos="1428"/>
        </w:tabs>
        <w:ind w:left="0" w:firstLine="0"/>
        <w:jc w:val="both"/>
        <w:rPr>
          <w:rFonts w:ascii="Times New Roman" w:hAnsi="Times New Roman"/>
          <w:sz w:val="24"/>
        </w:rPr>
      </w:pPr>
      <w:r w:rsidRPr="003E624E">
        <w:rPr>
          <w:rFonts w:ascii="Times New Roman" w:hAnsi="Times New Roman"/>
          <w:sz w:val="24"/>
        </w:rPr>
        <w:t>документы, подтверждающие соответствие подрядной ор</w:t>
      </w:r>
      <w:r w:rsidR="007C69D8">
        <w:rPr>
          <w:rFonts w:ascii="Times New Roman" w:hAnsi="Times New Roman"/>
          <w:sz w:val="24"/>
        </w:rPr>
        <w:t>ганизации требованиям «критерий</w:t>
      </w:r>
      <w:r w:rsidRPr="003E624E">
        <w:rPr>
          <w:rFonts w:ascii="Times New Roman" w:hAnsi="Times New Roman"/>
          <w:sz w:val="24"/>
        </w:rPr>
        <w:t xml:space="preserve"> </w:t>
      </w:r>
      <w:r w:rsidR="00110472">
        <w:rPr>
          <w:rFonts w:ascii="Times New Roman" w:hAnsi="Times New Roman"/>
          <w:sz w:val="24"/>
        </w:rPr>
        <w:t>технической оценки оферт участников закупки</w:t>
      </w:r>
      <w:r w:rsidR="008F3BFC">
        <w:rPr>
          <w:rFonts w:ascii="Times New Roman" w:hAnsi="Times New Roman"/>
          <w:sz w:val="24"/>
        </w:rPr>
        <w:t xml:space="preserve"> </w:t>
      </w:r>
      <w:r w:rsidR="00BF0FEC">
        <w:rPr>
          <w:rFonts w:ascii="Times New Roman" w:hAnsi="Times New Roman"/>
          <w:sz w:val="24"/>
        </w:rPr>
        <w:t>для оказания услуг</w:t>
      </w:r>
      <w:r w:rsidRPr="003E624E">
        <w:rPr>
          <w:rFonts w:ascii="Times New Roman" w:hAnsi="Times New Roman"/>
          <w:sz w:val="24"/>
        </w:rPr>
        <w:t xml:space="preserve"> по </w:t>
      </w:r>
      <w:r w:rsidR="007D3874" w:rsidRPr="003E624E">
        <w:rPr>
          <w:rFonts w:ascii="Times New Roman" w:hAnsi="Times New Roman"/>
          <w:sz w:val="24"/>
        </w:rPr>
        <w:t>тип</w:t>
      </w:r>
      <w:r w:rsidR="004D66A3">
        <w:rPr>
          <w:rFonts w:ascii="Times New Roman" w:hAnsi="Times New Roman"/>
          <w:sz w:val="24"/>
        </w:rPr>
        <w:t>у</w:t>
      </w:r>
      <w:r w:rsidR="007D3874" w:rsidRPr="003E624E">
        <w:rPr>
          <w:rFonts w:ascii="Times New Roman" w:hAnsi="Times New Roman"/>
          <w:sz w:val="24"/>
        </w:rPr>
        <w:t xml:space="preserve"> сделк</w:t>
      </w:r>
      <w:r w:rsidR="004D66A3">
        <w:rPr>
          <w:rFonts w:ascii="Times New Roman" w:hAnsi="Times New Roman"/>
          <w:sz w:val="24"/>
        </w:rPr>
        <w:t>и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2C3E39">
        <w:rPr>
          <w:rFonts w:ascii="Times New Roman" w:hAnsi="Times New Roman"/>
          <w:b/>
          <w:sz w:val="24"/>
        </w:rPr>
        <w:t>1</w:t>
      </w:r>
      <w:r w:rsidR="001F4E14" w:rsidRPr="001F4E14">
        <w:rPr>
          <w:rFonts w:ascii="Times New Roman" w:hAnsi="Times New Roman"/>
          <w:b/>
          <w:sz w:val="24"/>
        </w:rPr>
        <w:t>202</w:t>
      </w:r>
      <w:r w:rsidR="007D3874" w:rsidRPr="003E624E">
        <w:rPr>
          <w:rFonts w:ascii="Times New Roman" w:hAnsi="Times New Roman"/>
          <w:b/>
          <w:sz w:val="24"/>
        </w:rPr>
        <w:t xml:space="preserve"> </w:t>
      </w:r>
      <w:r w:rsidR="007D3874" w:rsidRPr="003E624E">
        <w:rPr>
          <w:rFonts w:ascii="Times New Roman" w:hAnsi="Times New Roman"/>
          <w:b/>
          <w:sz w:val="24"/>
          <w:u w:val="single"/>
        </w:rPr>
        <w:t>«</w:t>
      </w:r>
      <w:r w:rsidR="001F4E14" w:rsidRPr="001F4E14">
        <w:rPr>
          <w:rFonts w:ascii="Times New Roman" w:hAnsi="Times New Roman"/>
          <w:b/>
          <w:sz w:val="23"/>
          <w:szCs w:val="23"/>
          <w:u w:val="single"/>
        </w:rPr>
        <w:t>Разработка нормативной документации</w:t>
      </w:r>
      <w:r w:rsidR="007D3874" w:rsidRPr="003E624E">
        <w:rPr>
          <w:rFonts w:ascii="Times New Roman" w:hAnsi="Times New Roman"/>
          <w:b/>
          <w:sz w:val="24"/>
          <w:u w:val="single"/>
        </w:rPr>
        <w:t xml:space="preserve">» </w:t>
      </w:r>
      <w:r w:rsidR="00212BE7">
        <w:rPr>
          <w:rFonts w:ascii="Times New Roman" w:hAnsi="Times New Roman"/>
          <w:sz w:val="24"/>
        </w:rPr>
        <w:t>(Форма 9</w:t>
      </w:r>
      <w:r w:rsidRPr="003E624E">
        <w:rPr>
          <w:rFonts w:ascii="Times New Roman" w:hAnsi="Times New Roman"/>
          <w:sz w:val="24"/>
        </w:rPr>
        <w:t>)</w:t>
      </w:r>
      <w:r w:rsidR="00AB4CE5">
        <w:rPr>
          <w:rFonts w:ascii="Times New Roman" w:hAnsi="Times New Roman"/>
          <w:sz w:val="24"/>
        </w:rPr>
        <w:t>.</w:t>
      </w:r>
    </w:p>
    <w:p w:rsidR="00822ECE" w:rsidRPr="00822ECE" w:rsidRDefault="004D66A3" w:rsidP="00822ECE">
      <w:pPr>
        <w:pStyle w:val="ab"/>
        <w:jc w:val="both"/>
        <w:rPr>
          <w:rFonts w:ascii="Times New Roman" w:hAnsi="Times New Roman"/>
          <w:sz w:val="24"/>
        </w:rPr>
      </w:pPr>
      <w:r w:rsidRPr="000123F7">
        <w:rPr>
          <w:rFonts w:ascii="Times New Roman" w:hAnsi="Times New Roman"/>
          <w:sz w:val="24"/>
        </w:rPr>
        <w:t xml:space="preserve"> </w:t>
      </w:r>
      <w:r w:rsidR="00822ECE" w:rsidRPr="00822ECE">
        <w:rPr>
          <w:rFonts w:ascii="Times New Roman" w:hAnsi="Times New Roman"/>
          <w:sz w:val="24"/>
        </w:rPr>
        <w:t>Покупатель оставляет за собой право изменять общее количество  оказываемых услуг в пределах согласованного в Приложении к Договору опциона.</w:t>
      </w:r>
    </w:p>
    <w:p w:rsidR="00822ECE" w:rsidRPr="00822ECE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  <w:r w:rsidRPr="00822ECE">
        <w:rPr>
          <w:rFonts w:ascii="Times New Roman" w:hAnsi="Times New Roman"/>
          <w:sz w:val="24"/>
        </w:rPr>
        <w:lastRenderedPageBreak/>
        <w:t xml:space="preserve">           Под опционом понимается право Покупателя уменьшать</w:t>
      </w:r>
      <w:proofErr w:type="gramStart"/>
      <w:r w:rsidRPr="00822ECE">
        <w:rPr>
          <w:rFonts w:ascii="Times New Roman" w:hAnsi="Times New Roman"/>
          <w:sz w:val="24"/>
        </w:rPr>
        <w:t xml:space="preserve"> (-) </w:t>
      </w:r>
      <w:proofErr w:type="gramEnd"/>
      <w:r w:rsidRPr="00822ECE">
        <w:rPr>
          <w:rFonts w:ascii="Times New Roman" w:hAnsi="Times New Roman"/>
          <w:sz w:val="24"/>
        </w:rPr>
        <w:t>или увеличивать (+) количество оказываемых услуг в пределах согласованного количества без изменения остальных условий, в том числе без изменения цен, сроков поставки, согласованных Сторонами в Приложениях.</w:t>
      </w:r>
    </w:p>
    <w:p w:rsidR="00875B06" w:rsidRPr="00D26805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  <w:r w:rsidRPr="00822ECE">
        <w:rPr>
          <w:rFonts w:ascii="Times New Roman" w:hAnsi="Times New Roman"/>
          <w:sz w:val="24"/>
        </w:rPr>
        <w:t>Оферта предоставляется на русском языке.</w:t>
      </w:r>
    </w:p>
    <w:p w:rsidR="00822ECE" w:rsidRPr="00D26805" w:rsidRDefault="00822ECE" w:rsidP="00822ECE">
      <w:pPr>
        <w:pStyle w:val="ab"/>
        <w:ind w:left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Начало приема оферт – </w:t>
      </w:r>
      <w:r w:rsidR="005278AB">
        <w:rPr>
          <w:rFonts w:ascii="Times New Roman" w:hAnsi="Times New Roman"/>
          <w:b/>
          <w:sz w:val="24"/>
        </w:rPr>
        <w:t xml:space="preserve">   </w:t>
      </w:r>
      <w:r w:rsidR="00403CA5">
        <w:rPr>
          <w:rFonts w:ascii="Times New Roman" w:hAnsi="Times New Roman"/>
          <w:b/>
          <w:sz w:val="24"/>
        </w:rPr>
        <w:t>«</w:t>
      </w:r>
      <w:r w:rsidR="00EE1690">
        <w:rPr>
          <w:rFonts w:ascii="Times New Roman" w:hAnsi="Times New Roman"/>
          <w:b/>
          <w:sz w:val="24"/>
        </w:rPr>
        <w:t>15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E1690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278AB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5278AB">
        <w:rPr>
          <w:rFonts w:ascii="Times New Roman" w:hAnsi="Times New Roman"/>
          <w:b/>
          <w:sz w:val="24"/>
        </w:rPr>
        <w:t xml:space="preserve">  </w:t>
      </w:r>
      <w:r w:rsidR="00565F5B">
        <w:rPr>
          <w:rFonts w:ascii="Times New Roman" w:hAnsi="Times New Roman"/>
          <w:b/>
          <w:sz w:val="24"/>
        </w:rPr>
        <w:t>«</w:t>
      </w:r>
      <w:r w:rsidR="00EE1690">
        <w:rPr>
          <w:rFonts w:ascii="Times New Roman" w:hAnsi="Times New Roman"/>
          <w:b/>
          <w:sz w:val="24"/>
        </w:rPr>
        <w:t>28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EE1690">
        <w:rPr>
          <w:rFonts w:ascii="Times New Roman" w:hAnsi="Times New Roman"/>
          <w:b/>
          <w:sz w:val="24"/>
        </w:rPr>
        <w:t>октября</w:t>
      </w:r>
      <w:r w:rsidR="00875B06" w:rsidRPr="000127F9">
        <w:rPr>
          <w:rFonts w:ascii="Times New Roman" w:hAnsi="Times New Roman"/>
          <w:b/>
          <w:sz w:val="24"/>
        </w:rPr>
        <w:t xml:space="preserve"> 2014</w:t>
      </w:r>
      <w:r w:rsidR="005F7876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</w:t>
      </w:r>
      <w:r w:rsidR="00D06108" w:rsidRPr="00D06108">
        <w:rPr>
          <w:rFonts w:ascii="Times New Roman" w:hAnsi="Times New Roman"/>
          <w:b/>
          <w:sz w:val="24"/>
        </w:rPr>
        <w:t>31</w:t>
      </w:r>
      <w:r w:rsidR="00875B06" w:rsidRPr="000127F9">
        <w:rPr>
          <w:rFonts w:ascii="Times New Roman" w:hAnsi="Times New Roman"/>
          <w:b/>
          <w:sz w:val="24"/>
        </w:rPr>
        <w:t xml:space="preserve">» </w:t>
      </w:r>
      <w:r w:rsidR="00D06108">
        <w:rPr>
          <w:rFonts w:ascii="Times New Roman" w:hAnsi="Times New Roman"/>
          <w:b/>
          <w:sz w:val="24"/>
        </w:rPr>
        <w:t xml:space="preserve"> декабря</w:t>
      </w:r>
      <w:r w:rsidR="00875B06" w:rsidRPr="000127F9">
        <w:rPr>
          <w:rFonts w:ascii="Times New Roman" w:hAnsi="Times New Roman"/>
          <w:b/>
          <w:sz w:val="24"/>
        </w:rPr>
        <w:t xml:space="preserve"> 2014 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</w:t>
      </w:r>
      <w:r w:rsidR="003A492B" w:rsidRPr="003A492B">
        <w:rPr>
          <w:rFonts w:ascii="Times New Roman" w:hAnsi="Times New Roman"/>
          <w:b/>
          <w:sz w:val="24"/>
        </w:rPr>
        <w:t xml:space="preserve"> </w:t>
      </w:r>
      <w:r w:rsidR="003A492B">
        <w:rPr>
          <w:rFonts w:ascii="Times New Roman" w:hAnsi="Times New Roman"/>
          <w:b/>
          <w:sz w:val="24"/>
        </w:rPr>
        <w:t>сайте</w:t>
      </w:r>
      <w:r w:rsidRPr="000127F9">
        <w:rPr>
          <w:rFonts w:ascii="Times New Roman" w:hAnsi="Times New Roman"/>
          <w:b/>
          <w:sz w:val="24"/>
        </w:rPr>
        <w:t xml:space="preserve">  </w:t>
      </w:r>
      <w:r w:rsidR="00064B61" w:rsidRPr="00064B61">
        <w:rPr>
          <w:rFonts w:ascii="Times New Roman" w:eastAsiaTheme="minorHAnsi" w:hAnsi="Times New Roman"/>
          <w:color w:val="0000FF"/>
          <w:sz w:val="24"/>
          <w:u w:val="single"/>
          <w:lang w:eastAsia="en-US"/>
        </w:rPr>
        <w:t>http://www.sn-mng.ru/supplier/accreditation/</w:t>
      </w:r>
      <w:r w:rsidRPr="00064B61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Pr="00B64CBC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D92DED">
        <w:rPr>
          <w:rFonts w:ascii="Times New Roman" w:hAnsi="Times New Roman"/>
          <w:b/>
          <w:sz w:val="24"/>
        </w:rPr>
        <w:t xml:space="preserve">«Предложение на </w:t>
      </w:r>
      <w:r w:rsidR="00D92DED" w:rsidRPr="00A82139">
        <w:rPr>
          <w:rFonts w:ascii="Times New Roman" w:hAnsi="Times New Roman"/>
          <w:b/>
          <w:sz w:val="24"/>
        </w:rPr>
        <w:t>№</w:t>
      </w:r>
      <w:r w:rsidR="007D3874" w:rsidRPr="00A82139">
        <w:rPr>
          <w:rFonts w:ascii="Times New Roman" w:hAnsi="Times New Roman"/>
          <w:b/>
          <w:sz w:val="24"/>
        </w:rPr>
        <w:t xml:space="preserve"> </w:t>
      </w:r>
      <w:r w:rsidR="00285B40">
        <w:rPr>
          <w:rFonts w:ascii="Times New Roman" w:hAnsi="Times New Roman"/>
          <w:b/>
          <w:sz w:val="24"/>
        </w:rPr>
        <w:t>6</w:t>
      </w:r>
      <w:r w:rsidR="004D761F">
        <w:rPr>
          <w:rFonts w:ascii="Times New Roman" w:hAnsi="Times New Roman"/>
          <w:b/>
          <w:sz w:val="24"/>
        </w:rPr>
        <w:t>81</w:t>
      </w:r>
      <w:r w:rsidR="00637924" w:rsidRPr="00A82139">
        <w:rPr>
          <w:rFonts w:ascii="Times New Roman" w:hAnsi="Times New Roman"/>
          <w:b/>
          <w:sz w:val="24"/>
        </w:rPr>
        <w:t>/ТК/2014г.</w:t>
      </w:r>
      <w:r w:rsidR="001A2DF9">
        <w:rPr>
          <w:rFonts w:ascii="Times New Roman" w:hAnsi="Times New Roman"/>
          <w:b/>
          <w:sz w:val="24"/>
        </w:rPr>
        <w:t xml:space="preserve"> о</w:t>
      </w:r>
      <w:r w:rsidR="002C3E39">
        <w:rPr>
          <w:rFonts w:ascii="Times New Roman" w:hAnsi="Times New Roman"/>
          <w:b/>
          <w:sz w:val="24"/>
        </w:rPr>
        <w:t xml:space="preserve">т </w:t>
      </w:r>
      <w:r w:rsidR="00EE1690">
        <w:rPr>
          <w:rFonts w:ascii="Times New Roman" w:hAnsi="Times New Roman"/>
          <w:b/>
          <w:sz w:val="24"/>
        </w:rPr>
        <w:t>15.10.</w:t>
      </w:r>
      <w:r w:rsidR="000022DD" w:rsidRPr="007F74A6">
        <w:rPr>
          <w:rFonts w:ascii="Times New Roman" w:hAnsi="Times New Roman"/>
          <w:b/>
          <w:sz w:val="24"/>
        </w:rPr>
        <w:t>2014г</w:t>
      </w:r>
      <w:r w:rsidRPr="007F74A6">
        <w:rPr>
          <w:rFonts w:ascii="Times New Roman" w:hAnsi="Times New Roman"/>
          <w:b/>
          <w:sz w:val="24"/>
        </w:rPr>
        <w:t>».</w:t>
      </w:r>
    </w:p>
    <w:p w:rsidR="007B7AAC" w:rsidRDefault="007B7AAC" w:rsidP="007B7AAC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7F6427">
        <w:rPr>
          <w:rFonts w:ascii="Times New Roman" w:hAnsi="Times New Roman"/>
          <w:sz w:val="24"/>
        </w:rPr>
        <w:t xml:space="preserve">Участник передает </w:t>
      </w:r>
      <w:r>
        <w:rPr>
          <w:rFonts w:ascii="Times New Roman" w:hAnsi="Times New Roman"/>
          <w:sz w:val="24"/>
        </w:rPr>
        <w:t>четыре</w:t>
      </w:r>
      <w:r w:rsidRPr="007F6427">
        <w:rPr>
          <w:rFonts w:ascii="Times New Roman" w:hAnsi="Times New Roman"/>
          <w:sz w:val="24"/>
        </w:rPr>
        <w:t xml:space="preserve"> конверта документов</w:t>
      </w:r>
      <w:r>
        <w:rPr>
          <w:rFonts w:ascii="Times New Roman" w:hAnsi="Times New Roman"/>
          <w:sz w:val="24"/>
        </w:rPr>
        <w:t xml:space="preserve">, техническая </w:t>
      </w:r>
      <w:r w:rsidRPr="007F6427">
        <w:rPr>
          <w:rFonts w:ascii="Times New Roman" w:hAnsi="Times New Roman"/>
          <w:sz w:val="24"/>
        </w:rPr>
        <w:t xml:space="preserve">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</w:t>
      </w:r>
      <w:r>
        <w:rPr>
          <w:rFonts w:ascii="Times New Roman" w:hAnsi="Times New Roman"/>
          <w:sz w:val="24"/>
        </w:rPr>
        <w:t xml:space="preserve"> и коммерческая части оферты подаются в разных конвертах. В каждом конверте должен находиться прошитый пакет документов с описью</w:t>
      </w:r>
      <w:r w:rsidRPr="007F6427">
        <w:rPr>
          <w:rFonts w:ascii="Times New Roman" w:hAnsi="Times New Roman"/>
          <w:sz w:val="24"/>
        </w:rPr>
        <w:t xml:space="preserve">: </w:t>
      </w:r>
    </w:p>
    <w:p w:rsidR="007B7AAC" w:rsidRPr="007F6427" w:rsidRDefault="007B7AAC" w:rsidP="007B7AAC">
      <w:pPr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- </w:t>
      </w:r>
      <w:r w:rsidRPr="001D5FE3">
        <w:rPr>
          <w:rFonts w:ascii="Times New Roman" w:hAnsi="Times New Roman"/>
          <w:b/>
          <w:sz w:val="24"/>
        </w:rPr>
        <w:t>первый конверт</w:t>
      </w:r>
      <w:r w:rsidR="004F3804">
        <w:rPr>
          <w:rFonts w:ascii="Times New Roman" w:hAnsi="Times New Roman"/>
          <w:sz w:val="24"/>
        </w:rPr>
        <w:t xml:space="preserve"> (техническая часть)</w:t>
      </w:r>
      <w:r w:rsidRPr="007F6427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</w:t>
      </w:r>
      <w:r w:rsidRPr="00765513">
        <w:rPr>
          <w:rFonts w:ascii="Times New Roman" w:hAnsi="Times New Roman"/>
          <w:sz w:val="23"/>
          <w:szCs w:val="23"/>
        </w:rPr>
        <w:t>критери</w:t>
      </w:r>
      <w:r>
        <w:rPr>
          <w:rFonts w:ascii="Times New Roman" w:hAnsi="Times New Roman"/>
          <w:sz w:val="23"/>
          <w:szCs w:val="23"/>
        </w:rPr>
        <w:t>й</w:t>
      </w:r>
      <w:r w:rsidRPr="00765513">
        <w:rPr>
          <w:rFonts w:ascii="Times New Roman" w:hAnsi="Times New Roman"/>
          <w:sz w:val="23"/>
          <w:szCs w:val="23"/>
        </w:rPr>
        <w:t xml:space="preserve"> технической оценки </w:t>
      </w:r>
      <w:r>
        <w:rPr>
          <w:rFonts w:ascii="Times New Roman" w:hAnsi="Times New Roman"/>
          <w:sz w:val="23"/>
          <w:szCs w:val="23"/>
        </w:rPr>
        <w:t xml:space="preserve">оферт </w:t>
      </w:r>
      <w:r w:rsidRPr="00765513">
        <w:rPr>
          <w:rFonts w:ascii="Times New Roman" w:hAnsi="Times New Roman"/>
          <w:sz w:val="23"/>
          <w:szCs w:val="23"/>
        </w:rPr>
        <w:t xml:space="preserve">участников закупки </w:t>
      </w:r>
      <w:r w:rsidR="00BA7142">
        <w:rPr>
          <w:rFonts w:ascii="Times New Roman" w:hAnsi="Times New Roman"/>
          <w:sz w:val="23"/>
          <w:szCs w:val="23"/>
        </w:rPr>
        <w:t xml:space="preserve">для оказания </w:t>
      </w:r>
      <w:r w:rsidRPr="00765513">
        <w:rPr>
          <w:rFonts w:ascii="Times New Roman" w:hAnsi="Times New Roman"/>
          <w:sz w:val="23"/>
          <w:szCs w:val="23"/>
        </w:rPr>
        <w:t>услуг  по типу сделки</w:t>
      </w:r>
      <w:r w:rsidRPr="00072229">
        <w:rPr>
          <w:rFonts w:ascii="Times New Roman" w:hAnsi="Times New Roman"/>
          <w:sz w:val="24"/>
        </w:rPr>
        <w:t xml:space="preserve"> </w:t>
      </w:r>
      <w:r w:rsidRPr="007B7AAC">
        <w:rPr>
          <w:rFonts w:ascii="Times New Roman" w:hAnsi="Times New Roman"/>
          <w:sz w:val="24"/>
        </w:rPr>
        <w:t>1</w:t>
      </w:r>
      <w:r w:rsidR="00F41993" w:rsidRPr="00F41993">
        <w:rPr>
          <w:rFonts w:ascii="Times New Roman" w:hAnsi="Times New Roman"/>
          <w:sz w:val="24"/>
        </w:rPr>
        <w:t>202</w:t>
      </w:r>
      <w:r w:rsidR="00C80C11">
        <w:rPr>
          <w:rFonts w:ascii="Times New Roman" w:hAnsi="Times New Roman"/>
          <w:sz w:val="24"/>
        </w:rPr>
        <w:t xml:space="preserve"> </w:t>
      </w:r>
      <w:r w:rsidR="00C80C11" w:rsidRPr="00C80C11">
        <w:rPr>
          <w:rFonts w:ascii="Times New Roman" w:hAnsi="Times New Roman"/>
          <w:sz w:val="23"/>
          <w:szCs w:val="23"/>
        </w:rPr>
        <w:t>«Разработка нормативной документации»</w:t>
      </w:r>
      <w:r w:rsidRPr="007F6427">
        <w:rPr>
          <w:rFonts w:ascii="Times New Roman" w:hAnsi="Times New Roman"/>
          <w:sz w:val="24"/>
        </w:rPr>
        <w:t xml:space="preserve"> (в соответствии с Формой </w:t>
      </w:r>
      <w:r>
        <w:rPr>
          <w:rFonts w:ascii="Times New Roman" w:hAnsi="Times New Roman"/>
          <w:sz w:val="24"/>
        </w:rPr>
        <w:t>9</w:t>
      </w:r>
      <w:r w:rsidRPr="007F6427">
        <w:rPr>
          <w:rFonts w:ascii="Times New Roman" w:hAnsi="Times New Roman"/>
          <w:sz w:val="24"/>
        </w:rPr>
        <w:t xml:space="preserve">) (без указания сумм, цен и </w:t>
      </w:r>
      <w:proofErr w:type="spellStart"/>
      <w:r w:rsidRPr="007F6427">
        <w:rPr>
          <w:rFonts w:ascii="Times New Roman" w:hAnsi="Times New Roman"/>
          <w:sz w:val="24"/>
        </w:rPr>
        <w:t>т</w:t>
      </w:r>
      <w:proofErr w:type="gramStart"/>
      <w:r w:rsidRPr="007F6427">
        <w:rPr>
          <w:rFonts w:ascii="Times New Roman" w:hAnsi="Times New Roman"/>
          <w:sz w:val="24"/>
        </w:rPr>
        <w:t>.п</w:t>
      </w:r>
      <w:proofErr w:type="spellEnd"/>
      <w:proofErr w:type="gramEnd"/>
      <w:r w:rsidRPr="007F6427">
        <w:rPr>
          <w:rFonts w:ascii="Times New Roman" w:hAnsi="Times New Roman"/>
          <w:sz w:val="24"/>
        </w:rPr>
        <w:t>);</w:t>
      </w:r>
    </w:p>
    <w:p w:rsidR="007B7AAC" w:rsidRPr="00F5389A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 w:rsidRPr="00F5389A">
        <w:rPr>
          <w:rFonts w:ascii="Times New Roman" w:hAnsi="Times New Roman"/>
          <w:sz w:val="24"/>
        </w:rPr>
        <w:t xml:space="preserve">- </w:t>
      </w:r>
      <w:r w:rsidRPr="001D5FE3">
        <w:rPr>
          <w:rFonts w:ascii="Times New Roman" w:hAnsi="Times New Roman"/>
          <w:b/>
          <w:sz w:val="24"/>
        </w:rPr>
        <w:t>второй конверт</w:t>
      </w:r>
      <w:r w:rsidRPr="00F5389A">
        <w:rPr>
          <w:rFonts w:ascii="Times New Roman" w:hAnsi="Times New Roman"/>
          <w:sz w:val="24"/>
        </w:rPr>
        <w:t xml:space="preserve"> (с пометкой «Копия»), </w:t>
      </w:r>
      <w:r w:rsidRPr="00F5389A">
        <w:rPr>
          <w:rFonts w:ascii="Times New Roman" w:eastAsiaTheme="minorHAnsi" w:hAnsi="Times New Roman"/>
          <w:sz w:val="24"/>
          <w:lang w:eastAsia="en-US"/>
        </w:rPr>
        <w:t>содержащий копии документов, находящихся в первом конверте;</w:t>
      </w:r>
    </w:p>
    <w:p w:rsidR="007B7AAC" w:rsidRPr="00F5389A" w:rsidRDefault="007B7AAC" w:rsidP="007B7AAC">
      <w:pPr>
        <w:autoSpaceDE w:val="0"/>
        <w:autoSpaceDN w:val="0"/>
        <w:adjustRightInd w:val="0"/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proofErr w:type="gramStart"/>
      <w:r w:rsidRPr="00F5389A">
        <w:rPr>
          <w:rFonts w:ascii="Times New Roman" w:hAnsi="Times New Roman"/>
          <w:sz w:val="24"/>
        </w:rPr>
        <w:t xml:space="preserve">- </w:t>
      </w:r>
      <w:r w:rsidRPr="008161FA">
        <w:rPr>
          <w:rFonts w:ascii="Times New Roman" w:hAnsi="Times New Roman"/>
          <w:b/>
          <w:sz w:val="24"/>
        </w:rPr>
        <w:t>третий конверт</w:t>
      </w:r>
      <w:r>
        <w:rPr>
          <w:rFonts w:ascii="Times New Roman" w:hAnsi="Times New Roman"/>
          <w:sz w:val="24"/>
        </w:rPr>
        <w:t xml:space="preserve"> </w:t>
      </w:r>
      <w:r w:rsidR="00B76C7A" w:rsidRPr="00B76C7A">
        <w:rPr>
          <w:rFonts w:ascii="Times New Roman" w:hAnsi="Times New Roman"/>
          <w:sz w:val="24"/>
        </w:rPr>
        <w:t>(коммерческая часть)</w:t>
      </w:r>
      <w:r w:rsidR="00B76C7A">
        <w:rPr>
          <w:rFonts w:ascii="Times New Roman" w:hAnsi="Times New Roman"/>
          <w:sz w:val="24"/>
        </w:rPr>
        <w:t>,</w:t>
      </w:r>
      <w:r w:rsidR="00B76C7A" w:rsidRPr="00B76C7A">
        <w:rPr>
          <w:rFonts w:ascii="Times New Roman" w:hAnsi="Times New Roman"/>
          <w:sz w:val="24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«Оригинал»), оригиналы документов: заполненное извещение о согласии сделать оферту (Форма 2), предложение о заключении договора (Форма 3), заполненн</w:t>
      </w:r>
      <w:r>
        <w:rPr>
          <w:rFonts w:ascii="Times New Roman" w:eastAsiaTheme="minorHAnsi" w:hAnsi="Times New Roman"/>
          <w:sz w:val="24"/>
          <w:lang w:eastAsia="en-US"/>
        </w:rPr>
        <w:t>ую таблицу цен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</w:t>
      </w:r>
      <w:r>
        <w:rPr>
          <w:rFonts w:ascii="Times New Roman" w:eastAsiaTheme="minorHAnsi" w:hAnsi="Times New Roman"/>
          <w:sz w:val="24"/>
          <w:lang w:eastAsia="en-US"/>
        </w:rPr>
        <w:t>а</w:t>
      </w:r>
      <w:r w:rsidRPr="00F5389A">
        <w:rPr>
          <w:rFonts w:ascii="Times New Roman" w:eastAsiaTheme="minorHAnsi" w:hAnsi="Times New Roman"/>
          <w:sz w:val="24"/>
          <w:lang w:eastAsia="en-US"/>
        </w:rPr>
        <w:t xml:space="preserve"> 6), перечень аффилированных организаций (Форма 7),</w:t>
      </w:r>
      <w:r>
        <w:rPr>
          <w:rFonts w:ascii="Times New Roman" w:eastAsiaTheme="minorHAnsi" w:hAnsi="Times New Roman"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заполненная и подписанная</w:t>
      </w:r>
      <w:proofErr w:type="gramEnd"/>
      <w:r w:rsidRPr="00F5389A">
        <w:rPr>
          <w:rFonts w:ascii="Times New Roman" w:eastAsiaTheme="minorHAnsi" w:hAnsi="Times New Roman"/>
          <w:sz w:val="24"/>
          <w:lang w:eastAsia="en-US"/>
        </w:rPr>
        <w:t xml:space="preserve"> расшифровка по стоимости затрат (Форма </w:t>
      </w:r>
      <w:r>
        <w:rPr>
          <w:rFonts w:ascii="Times New Roman" w:eastAsiaTheme="minorHAnsi" w:hAnsi="Times New Roman"/>
          <w:sz w:val="24"/>
          <w:lang w:eastAsia="en-US"/>
        </w:rPr>
        <w:t>8)</w:t>
      </w:r>
      <w:r>
        <w:rPr>
          <w:rFonts w:ascii="Times New Roman" w:hAnsi="Times New Roman"/>
          <w:sz w:val="24"/>
        </w:rPr>
        <w:t xml:space="preserve">. </w:t>
      </w:r>
      <w:r w:rsidRPr="008A7953">
        <w:rPr>
          <w:rFonts w:ascii="Times New Roman" w:hAnsi="Times New Roman"/>
          <w:sz w:val="24"/>
        </w:rPr>
        <w:t xml:space="preserve">В конверт с пометкой «Оригинал» вкладывается </w:t>
      </w:r>
      <w:r>
        <w:rPr>
          <w:rFonts w:ascii="Times New Roman" w:hAnsi="Times New Roman"/>
          <w:sz w:val="24"/>
        </w:rPr>
        <w:t>электронный носитель с электронной версией: «Таблица</w:t>
      </w:r>
      <w:r w:rsidRPr="008A7953">
        <w:rPr>
          <w:rFonts w:ascii="Times New Roman" w:hAnsi="Times New Roman"/>
          <w:sz w:val="24"/>
        </w:rPr>
        <w:t xml:space="preserve"> цен»</w:t>
      </w:r>
      <w:r>
        <w:rPr>
          <w:rFonts w:ascii="Times New Roman" w:hAnsi="Times New Roman"/>
          <w:sz w:val="24"/>
        </w:rPr>
        <w:t>, калькуляция (</w:t>
      </w:r>
      <w:r w:rsidRPr="008A7953">
        <w:rPr>
          <w:rFonts w:ascii="Times New Roman" w:hAnsi="Times New Roman"/>
          <w:sz w:val="24"/>
        </w:rPr>
        <w:t>с расшифровками по статьям затрат</w:t>
      </w:r>
      <w:r>
        <w:rPr>
          <w:rFonts w:ascii="Times New Roman" w:hAnsi="Times New Roman"/>
          <w:sz w:val="24"/>
        </w:rPr>
        <w:t>), отсканированные оригиналы</w:t>
      </w:r>
      <w:r w:rsidRPr="008A7953">
        <w:rPr>
          <w:rFonts w:ascii="Times New Roman" w:hAnsi="Times New Roman"/>
          <w:sz w:val="24"/>
        </w:rPr>
        <w:t xml:space="preserve"> докуме</w:t>
      </w:r>
      <w:r>
        <w:rPr>
          <w:rFonts w:ascii="Times New Roman" w:hAnsi="Times New Roman"/>
          <w:sz w:val="24"/>
        </w:rPr>
        <w:t>нтов (содержащиеся в конверте). Документы в конверте с пометкой «Оригинал» являются официальной офертой;</w:t>
      </w:r>
    </w:p>
    <w:p w:rsidR="007B7AAC" w:rsidRDefault="007B7AAC" w:rsidP="007B7AAC">
      <w:pPr>
        <w:spacing w:before="0"/>
        <w:jc w:val="both"/>
        <w:rPr>
          <w:rFonts w:ascii="Times New Roman" w:eastAsiaTheme="minorHAnsi" w:hAnsi="Times New Roman"/>
          <w:sz w:val="24"/>
          <w:lang w:eastAsia="en-US"/>
        </w:rPr>
      </w:pPr>
      <w:r w:rsidRPr="00F5389A">
        <w:rPr>
          <w:rFonts w:ascii="Times New Roman" w:eastAsiaTheme="minorHAnsi" w:hAnsi="Times New Roman"/>
          <w:sz w:val="24"/>
          <w:lang w:eastAsia="en-US"/>
        </w:rPr>
        <w:t xml:space="preserve">- </w:t>
      </w:r>
      <w:r w:rsidRPr="008161FA">
        <w:rPr>
          <w:rFonts w:ascii="Times New Roman" w:eastAsiaTheme="minorHAnsi" w:hAnsi="Times New Roman"/>
          <w:b/>
          <w:sz w:val="24"/>
          <w:lang w:eastAsia="en-US"/>
        </w:rPr>
        <w:t>четвертый  конверт</w:t>
      </w:r>
      <w:r w:rsidR="008161FA" w:rsidRPr="008161FA">
        <w:rPr>
          <w:rFonts w:ascii="Times New Roman" w:eastAsiaTheme="minorHAnsi" w:hAnsi="Times New Roman"/>
          <w:b/>
          <w:sz w:val="24"/>
          <w:lang w:eastAsia="en-US"/>
        </w:rPr>
        <w:t xml:space="preserve"> </w:t>
      </w:r>
      <w:r w:rsidRPr="00F5389A">
        <w:rPr>
          <w:rFonts w:ascii="Times New Roman" w:eastAsiaTheme="minorHAnsi" w:hAnsi="Times New Roman"/>
          <w:sz w:val="24"/>
          <w:lang w:eastAsia="en-US"/>
        </w:rPr>
        <w:t>(с пометкой «Копия»), содержащий копии документов, находящихся в третьем конверте</w:t>
      </w:r>
      <w:r>
        <w:rPr>
          <w:rFonts w:ascii="Times New Roman" w:eastAsiaTheme="minorHAnsi" w:hAnsi="Times New Roman"/>
          <w:sz w:val="24"/>
          <w:lang w:eastAsia="en-US"/>
        </w:rPr>
        <w:t>.</w:t>
      </w:r>
    </w:p>
    <w:p w:rsidR="008671C1" w:rsidRPr="007F6427" w:rsidRDefault="007B7AAC" w:rsidP="007B7AAC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eastAsiaTheme="minorHAnsi" w:hAnsi="Times New Roman"/>
          <w:sz w:val="24"/>
          <w:lang w:eastAsia="en-US"/>
        </w:rPr>
        <w:t xml:space="preserve">      </w:t>
      </w:r>
      <w:r>
        <w:rPr>
          <w:rFonts w:ascii="Times New Roman" w:eastAsiaTheme="minorHAnsi" w:hAnsi="Times New Roman"/>
          <w:b/>
          <w:sz w:val="24"/>
          <w:lang w:eastAsia="en-US"/>
        </w:rPr>
        <w:t>В случае направления коммерческой и технической части ПДО в одном конверте, оферта не рассматривается и возвращается в адрес контрагента.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591406" w:rsidRPr="00A43B77" w:rsidRDefault="00203261" w:rsidP="000127F9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4F546F" w:rsidRPr="004902A4" w:rsidRDefault="00203261" w:rsidP="004902A4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ответит на Ваши письменные запросы, касающиеся разъяснений настоящего предложения, полученные не позднее, </w:t>
      </w:r>
      <w:r w:rsidR="005877E1">
        <w:rPr>
          <w:rFonts w:ascii="Times New Roman" w:hAnsi="Times New Roman"/>
          <w:b/>
          <w:sz w:val="24"/>
        </w:rPr>
        <w:t>«</w:t>
      </w:r>
      <w:r w:rsidR="00EE1690">
        <w:rPr>
          <w:rFonts w:ascii="Times New Roman" w:hAnsi="Times New Roman"/>
          <w:b/>
          <w:sz w:val="24"/>
        </w:rPr>
        <w:t>23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EE1690">
        <w:rPr>
          <w:rFonts w:ascii="Times New Roman" w:hAnsi="Times New Roman"/>
          <w:b/>
          <w:sz w:val="24"/>
        </w:rPr>
        <w:t>октября</w:t>
      </w:r>
      <w:r w:rsidR="00D95F9E" w:rsidRPr="000127F9">
        <w:rPr>
          <w:rFonts w:ascii="Times New Roman" w:hAnsi="Times New Roman"/>
          <w:b/>
          <w:sz w:val="24"/>
        </w:rPr>
        <w:t xml:space="preserve"> 2014</w:t>
      </w:r>
      <w:r w:rsidR="0037044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sz w:val="24"/>
        </w:rPr>
        <w:t>года</w:t>
      </w:r>
      <w:r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1A3589" w:rsidRDefault="001A3589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FD1D2E" w:rsidRPr="00E771EA" w:rsidRDefault="00E771EA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Начальник </w:t>
      </w:r>
      <w:proofErr w:type="spellStart"/>
      <w:r>
        <w:rPr>
          <w:rFonts w:ascii="Times New Roman" w:hAnsi="Times New Roman"/>
          <w:sz w:val="24"/>
          <w:szCs w:val="24"/>
        </w:rPr>
        <w:t>ОПНиГ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ДПНиГ</w:t>
      </w:r>
      <w:proofErr w:type="spellEnd"/>
    </w:p>
    <w:p w:rsidR="00FD1D2E" w:rsidRPr="00FD1D2E" w:rsidRDefault="00E972F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Михайлов Андрей Витальевич</w:t>
      </w:r>
    </w:p>
    <w:p w:rsidR="00FD1D2E" w:rsidRDefault="00FD1D2E" w:rsidP="00FD1D2E">
      <w:pPr>
        <w:pStyle w:val="ae"/>
        <w:rPr>
          <w:rStyle w:val="aa"/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 xml:space="preserve">тел. (34643) </w:t>
      </w:r>
      <w:r w:rsidR="007706BA">
        <w:rPr>
          <w:rFonts w:ascii="Times New Roman" w:hAnsi="Times New Roman"/>
          <w:sz w:val="24"/>
          <w:szCs w:val="24"/>
        </w:rPr>
        <w:t>46-12</w:t>
      </w:r>
      <w:r w:rsidR="002C3E39">
        <w:rPr>
          <w:rFonts w:ascii="Times New Roman" w:hAnsi="Times New Roman"/>
          <w:sz w:val="24"/>
          <w:szCs w:val="24"/>
        </w:rPr>
        <w:t xml:space="preserve">8, </w:t>
      </w:r>
      <w:hyperlink r:id="rId9" w:history="1">
        <w:r w:rsidR="005C4F98" w:rsidRPr="005C4F98">
          <w:rPr>
            <w:rStyle w:val="aa"/>
            <w:rFonts w:ascii="Times New Roman" w:hAnsi="Times New Roman"/>
            <w:sz w:val="24"/>
            <w:szCs w:val="24"/>
          </w:rPr>
          <w:t>MihailovAV@mng.slavneft.ru</w:t>
        </w:r>
      </w:hyperlink>
    </w:p>
    <w:p w:rsidR="007B7AAC" w:rsidRPr="00B370E9" w:rsidRDefault="007B7AAC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</w:p>
    <w:p w:rsidR="00FD1D2E" w:rsidRPr="00FD1D2E" w:rsidRDefault="00C6525F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инженер</w:t>
      </w:r>
      <w:r w:rsidR="00FD1D2E" w:rsidRPr="00FD1D2E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2D02" w:rsidRPr="00A22D02">
        <w:rPr>
          <w:rFonts w:ascii="Times New Roman" w:hAnsi="Times New Roman"/>
          <w:sz w:val="24"/>
          <w:szCs w:val="24"/>
        </w:rPr>
        <w:t>ОПНиГ</w:t>
      </w:r>
      <w:proofErr w:type="spellEnd"/>
      <w:r w:rsidR="00A22D02" w:rsidRPr="00A22D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="00A22D02" w:rsidRPr="00A22D02">
        <w:rPr>
          <w:rFonts w:ascii="Times New Roman" w:hAnsi="Times New Roman"/>
          <w:sz w:val="24"/>
          <w:szCs w:val="24"/>
        </w:rPr>
        <w:t>ДПНиГ</w:t>
      </w:r>
      <w:proofErr w:type="spellEnd"/>
    </w:p>
    <w:p w:rsidR="00FD1D2E" w:rsidRPr="00FD1D2E" w:rsidRDefault="00380D6E" w:rsidP="00FD1D2E">
      <w:pPr>
        <w:pStyle w:val="ae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Иргалина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Райфа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380D6E">
        <w:rPr>
          <w:rFonts w:ascii="Times New Roman" w:hAnsi="Times New Roman"/>
          <w:sz w:val="24"/>
          <w:szCs w:val="24"/>
        </w:rPr>
        <w:t>Габидулловна</w:t>
      </w:r>
      <w:proofErr w:type="spellEnd"/>
    </w:p>
    <w:p w:rsidR="00FD1D2E" w:rsidRPr="00AA0E4F" w:rsidRDefault="00FD1D2E" w:rsidP="00FD1D2E">
      <w:pPr>
        <w:pStyle w:val="ae"/>
        <w:rPr>
          <w:rFonts w:ascii="Times New Roman" w:hAnsi="Times New Roman"/>
          <w:sz w:val="24"/>
          <w:szCs w:val="24"/>
        </w:rPr>
      </w:pPr>
      <w:r w:rsidRPr="00FD1D2E">
        <w:rPr>
          <w:rFonts w:ascii="Times New Roman" w:hAnsi="Times New Roman"/>
          <w:sz w:val="24"/>
          <w:szCs w:val="24"/>
        </w:rPr>
        <w:t>тел. (34643) 46-</w:t>
      </w:r>
      <w:r w:rsidR="00C20007">
        <w:rPr>
          <w:rFonts w:ascii="Times New Roman" w:hAnsi="Times New Roman"/>
          <w:sz w:val="24"/>
          <w:szCs w:val="24"/>
        </w:rPr>
        <w:t>107</w:t>
      </w:r>
      <w:r w:rsidRPr="00FD1D2E">
        <w:rPr>
          <w:rFonts w:ascii="Times New Roman" w:hAnsi="Times New Roman"/>
          <w:sz w:val="24"/>
          <w:szCs w:val="24"/>
        </w:rPr>
        <w:t xml:space="preserve">, </w:t>
      </w:r>
      <w:hyperlink r:id="rId10" w:history="1">
        <w:r w:rsidR="00AA0E4F" w:rsidRPr="00AA0E4F">
          <w:rPr>
            <w:rStyle w:val="aa"/>
            <w:rFonts w:ascii="Times New Roman" w:hAnsi="Times New Roman"/>
            <w:bCs/>
            <w:sz w:val="24"/>
            <w:szCs w:val="24"/>
          </w:rPr>
          <w:t>IrgalinaRG@mng.slavneft.ru</w:t>
        </w:r>
      </w:hyperlink>
    </w:p>
    <w:p w:rsidR="00AA0E4F" w:rsidRDefault="00AA0E4F" w:rsidP="00FD1D2E">
      <w:pPr>
        <w:pStyle w:val="ae"/>
        <w:rPr>
          <w:rFonts w:ascii="Times New Roman" w:hAnsi="Times New Roman"/>
          <w:sz w:val="24"/>
          <w:szCs w:val="24"/>
        </w:rPr>
      </w:pPr>
    </w:p>
    <w:p w:rsidR="00AA0E4F" w:rsidRPr="00FD1D2E" w:rsidRDefault="007B7AAC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Ведущий с</w:t>
      </w:r>
      <w:r w:rsidR="00212BE7">
        <w:rPr>
          <w:rFonts w:ascii="Times New Roman" w:hAnsi="Times New Roman"/>
          <w:sz w:val="24"/>
          <w:szCs w:val="24"/>
        </w:rPr>
        <w:t>пециалист</w:t>
      </w:r>
      <w:r w:rsidR="006A22A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ОЗПУ</w:t>
      </w:r>
    </w:p>
    <w:p w:rsidR="00FD1D2E" w:rsidRPr="007B7AAC" w:rsidRDefault="00514369" w:rsidP="00FD1D2E">
      <w:pPr>
        <w:pStyle w:val="ae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Азязов Денис Александрович</w:t>
      </w:r>
    </w:p>
    <w:p w:rsidR="00FD1D2E" w:rsidRPr="006A22A4" w:rsidRDefault="00FD1D2E" w:rsidP="00FD1D2E">
      <w:pPr>
        <w:pStyle w:val="ae"/>
        <w:rPr>
          <w:rFonts w:ascii="Times New Roman" w:hAnsi="Times New Roman"/>
          <w:color w:val="003399"/>
          <w:sz w:val="24"/>
          <w:szCs w:val="24"/>
          <w:u w:val="single"/>
        </w:rPr>
      </w:pPr>
      <w:r w:rsidRPr="00FD1D2E">
        <w:rPr>
          <w:rFonts w:ascii="Times New Roman" w:hAnsi="Times New Roman"/>
          <w:sz w:val="24"/>
          <w:szCs w:val="24"/>
        </w:rPr>
        <w:t>тел</w:t>
      </w:r>
      <w:r w:rsidRPr="006A22A4">
        <w:rPr>
          <w:rFonts w:ascii="Times New Roman" w:hAnsi="Times New Roman"/>
          <w:sz w:val="24"/>
          <w:szCs w:val="24"/>
        </w:rPr>
        <w:t xml:space="preserve">. (34643) </w:t>
      </w:r>
      <w:r w:rsidR="006A22A4" w:rsidRPr="006A22A4">
        <w:rPr>
          <w:rFonts w:ascii="Times New Roman" w:hAnsi="Times New Roman"/>
          <w:sz w:val="24"/>
          <w:szCs w:val="24"/>
        </w:rPr>
        <w:t>49-</w:t>
      </w:r>
      <w:r w:rsidR="00F80019">
        <w:rPr>
          <w:rFonts w:ascii="Times New Roman" w:hAnsi="Times New Roman"/>
          <w:sz w:val="24"/>
          <w:szCs w:val="24"/>
        </w:rPr>
        <w:t>085</w:t>
      </w:r>
      <w:r w:rsidRPr="006A22A4">
        <w:rPr>
          <w:rFonts w:ascii="Times New Roman" w:hAnsi="Times New Roman"/>
          <w:sz w:val="24"/>
          <w:szCs w:val="24"/>
        </w:rPr>
        <w:t xml:space="preserve">, </w:t>
      </w:r>
      <w:r w:rsidR="00D0739F" w:rsidRPr="00D0739F">
        <w:rPr>
          <w:rFonts w:ascii="Times New Roman" w:hAnsi="Times New Roman"/>
          <w:sz w:val="24"/>
          <w:szCs w:val="24"/>
        </w:rPr>
        <w:t>AziazovDA@mng.slavneft.ru</w:t>
      </w:r>
      <w:r w:rsidRPr="006A22A4">
        <w:rPr>
          <w:rFonts w:ascii="Times New Roman" w:hAnsi="Times New Roman"/>
          <w:color w:val="003399"/>
          <w:sz w:val="24"/>
          <w:szCs w:val="24"/>
          <w:u w:val="single"/>
        </w:rPr>
        <w:t>;</w:t>
      </w:r>
    </w:p>
    <w:p w:rsidR="00D95F9E" w:rsidRPr="006A22A4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7B7AAC" w:rsidRDefault="00561886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561886">
        <w:rPr>
          <w:rFonts w:ascii="Times New Roman" w:hAnsi="Times New Roman"/>
          <w:sz w:val="24"/>
        </w:rPr>
        <w:t>021</w:t>
      </w:r>
      <w:r w:rsidR="00B06690">
        <w:rPr>
          <w:rFonts w:ascii="Times New Roman" w:hAnsi="Times New Roman"/>
          <w:sz w:val="24"/>
        </w:rPr>
        <w:t>0</w:t>
      </w:r>
      <w:r w:rsidRPr="000127F9">
        <w:rPr>
          <w:rFonts w:ascii="Times New Roman" w:hAnsi="Times New Roman"/>
          <w:sz w:val="24"/>
        </w:rPr>
        <w:t xml:space="preserve">, </w:t>
      </w:r>
      <w:hyperlink r:id="rId11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2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EB30F3" w:rsidRPr="00A8307D" w:rsidRDefault="00EB30F3" w:rsidP="00195D98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2633B5" w:rsidRDefault="002633B5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61886" w:rsidRDefault="0056188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61886" w:rsidRDefault="0056188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61886" w:rsidRDefault="0056188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61886" w:rsidRDefault="0056188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61886" w:rsidRDefault="0056188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61886" w:rsidRDefault="0056188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561886" w:rsidRPr="00D85647" w:rsidRDefault="00561886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633B5" w:rsidRDefault="002633B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A5103" w:rsidRPr="00D85647" w:rsidRDefault="002A5103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Default="00E46A87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E46A87" w:rsidRPr="00D26805" w:rsidRDefault="00E46A87" w:rsidP="00E771EA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4E5AD6" w:rsidRPr="000127F9" w:rsidRDefault="004E5AD6" w:rsidP="00B81D13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="000C09D2">
        <w:rPr>
          <w:rFonts w:ascii="Times New Roman" w:hAnsi="Times New Roman"/>
          <w:b/>
          <w:sz w:val="24"/>
        </w:rPr>
        <w:t xml:space="preserve">ПДО </w:t>
      </w:r>
      <w:r w:rsidR="000C09D2" w:rsidRPr="00A82139">
        <w:rPr>
          <w:rFonts w:ascii="Times New Roman" w:hAnsi="Times New Roman"/>
          <w:b/>
          <w:sz w:val="24"/>
        </w:rPr>
        <w:t>№</w:t>
      </w:r>
      <w:r w:rsidR="00895A8F">
        <w:rPr>
          <w:rFonts w:ascii="Times New Roman" w:hAnsi="Times New Roman"/>
          <w:b/>
          <w:sz w:val="24"/>
        </w:rPr>
        <w:t xml:space="preserve"> </w:t>
      </w:r>
      <w:r w:rsidR="00F36C8E">
        <w:rPr>
          <w:rFonts w:ascii="Times New Roman" w:hAnsi="Times New Roman"/>
          <w:b/>
          <w:sz w:val="24"/>
        </w:rPr>
        <w:t>6</w:t>
      </w:r>
      <w:r w:rsidR="009E2AD6">
        <w:rPr>
          <w:rFonts w:ascii="Times New Roman" w:hAnsi="Times New Roman"/>
          <w:b/>
          <w:sz w:val="24"/>
        </w:rPr>
        <w:t>81</w:t>
      </w:r>
      <w:r w:rsidR="008D6F5A" w:rsidRPr="00A82139">
        <w:rPr>
          <w:rFonts w:ascii="Times New Roman" w:hAnsi="Times New Roman"/>
          <w:b/>
          <w:sz w:val="24"/>
        </w:rPr>
        <w:t>/ТК/2014г.</w:t>
      </w:r>
      <w:r w:rsidR="008D6F5A" w:rsidRPr="007F74A6">
        <w:rPr>
          <w:rFonts w:ascii="Times New Roman" w:hAnsi="Times New Roman"/>
          <w:b/>
          <w:sz w:val="24"/>
        </w:rPr>
        <w:t xml:space="preserve"> от</w:t>
      </w:r>
      <w:r w:rsidR="00561886">
        <w:rPr>
          <w:rFonts w:ascii="Times New Roman" w:hAnsi="Times New Roman"/>
          <w:b/>
          <w:sz w:val="24"/>
        </w:rPr>
        <w:t xml:space="preserve"> 15.10.</w:t>
      </w:r>
      <w:r w:rsidRPr="007F74A6">
        <w:rPr>
          <w:rFonts w:ascii="Times New Roman" w:hAnsi="Times New Roman"/>
          <w:b/>
          <w:sz w:val="24"/>
        </w:rPr>
        <w:t>2014г</w:t>
      </w:r>
      <w:r w:rsidR="00E63543" w:rsidRPr="007F74A6">
        <w:rPr>
          <w:rFonts w:ascii="Times New Roman" w:hAnsi="Times New Roman"/>
          <w:b/>
          <w:sz w:val="24"/>
        </w:rPr>
        <w:t>.</w:t>
      </w:r>
      <w:r w:rsidRPr="007F74A6">
        <w:rPr>
          <w:rFonts w:ascii="Times New Roman" w:hAnsi="Times New Roman"/>
          <w:sz w:val="24"/>
        </w:rPr>
        <w:t>,</w:t>
      </w:r>
      <w:r w:rsidRPr="000127F9">
        <w:rPr>
          <w:rFonts w:ascii="Times New Roman" w:hAnsi="Times New Roman"/>
          <w:sz w:val="24"/>
        </w:rPr>
        <w:t xml:space="preserve">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</w:t>
      </w:r>
      <w:r w:rsidR="001973E9">
        <w:rPr>
          <w:rFonts w:ascii="Times New Roman" w:hAnsi="Times New Roman"/>
          <w:sz w:val="24"/>
        </w:rPr>
        <w:t>авнефть</w:t>
      </w:r>
      <w:proofErr w:type="spellEnd"/>
      <w:r w:rsidR="001973E9">
        <w:rPr>
          <w:rFonts w:ascii="Times New Roman" w:hAnsi="Times New Roman"/>
          <w:sz w:val="24"/>
        </w:rPr>
        <w:t>-Мегионнефтегаз» договор</w:t>
      </w:r>
      <w:r w:rsidRPr="000127F9">
        <w:rPr>
          <w:rFonts w:ascii="Times New Roman" w:hAnsi="Times New Roman"/>
          <w:sz w:val="24"/>
        </w:rPr>
        <w:t xml:space="preserve">  </w:t>
      </w:r>
      <w:r w:rsidR="0015589A" w:rsidRPr="0015589A">
        <w:rPr>
          <w:rFonts w:ascii="Times New Roman" w:hAnsi="Times New Roman"/>
          <w:sz w:val="24"/>
        </w:rPr>
        <w:t>на выполнение работ по определению газовых факторов по ступеням сепарации объектов подготовки нефти</w:t>
      </w:r>
      <w:proofErr w:type="gramEnd"/>
      <w:r w:rsidR="005F2828" w:rsidRPr="005F282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на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условиях</w:t>
      </w:r>
      <w:proofErr w:type="gramEnd"/>
      <w:r w:rsidRPr="000127F9">
        <w:rPr>
          <w:rFonts w:ascii="Times New Roman" w:hAnsi="Times New Roman"/>
          <w:sz w:val="24"/>
        </w:rPr>
        <w:t xml:space="preserve"> указанного ПДО не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                   </w:t>
      </w:r>
      <w:r w:rsidR="00895A8F" w:rsidRPr="00EB4248">
        <w:rPr>
          <w:rFonts w:ascii="Times New Roman" w:hAnsi="Times New Roman"/>
          <w:sz w:val="24"/>
        </w:rPr>
        <w:t xml:space="preserve">          </w:t>
      </w:r>
      <w:r w:rsidR="00EB4248" w:rsidRPr="00EB4248">
        <w:rPr>
          <w:rFonts w:ascii="Times New Roman" w:hAnsi="Times New Roman"/>
          <w:sz w:val="24"/>
        </w:rPr>
        <w:t xml:space="preserve">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D85647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Pr="00D85647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123124" w:rsidRDefault="00123124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5D5FE0" w:rsidRDefault="005D5FE0" w:rsidP="000127F9">
      <w:pPr>
        <w:spacing w:before="0"/>
        <w:rPr>
          <w:rFonts w:ascii="Times New Roman" w:hAnsi="Times New Roman"/>
          <w:b/>
          <w:sz w:val="24"/>
        </w:rPr>
      </w:pPr>
    </w:p>
    <w:p w:rsidR="00057F45" w:rsidRDefault="00057F45" w:rsidP="000127F9">
      <w:pPr>
        <w:spacing w:before="0"/>
        <w:rPr>
          <w:rFonts w:ascii="Times New Roman" w:hAnsi="Times New Roman"/>
          <w:b/>
          <w:sz w:val="24"/>
        </w:rPr>
      </w:pPr>
    </w:p>
    <w:p w:rsidR="000A2E04" w:rsidRDefault="000A2E04" w:rsidP="00611087">
      <w:pPr>
        <w:rPr>
          <w:rFonts w:ascii="Times New Roman" w:hAnsi="Times New Roman"/>
          <w:b/>
          <w:sz w:val="24"/>
        </w:rPr>
      </w:pPr>
    </w:p>
    <w:p w:rsidR="0001166B" w:rsidRDefault="0001166B" w:rsidP="00611087">
      <w:pPr>
        <w:rPr>
          <w:rFonts w:ascii="Times New Roman" w:hAnsi="Times New Roman"/>
          <w:b/>
          <w:sz w:val="24"/>
        </w:rPr>
      </w:pPr>
    </w:p>
    <w:p w:rsidR="005B0A3B" w:rsidRPr="00B95A66" w:rsidRDefault="005B0A3B" w:rsidP="000127F9">
      <w:pPr>
        <w:jc w:val="right"/>
        <w:rPr>
          <w:rFonts w:ascii="Times New Roman" w:hAnsi="Times New Roman"/>
          <w:b/>
          <w:szCs w:val="22"/>
        </w:rPr>
      </w:pPr>
      <w:r w:rsidRPr="00B95A66">
        <w:rPr>
          <w:rFonts w:ascii="Times New Roman" w:hAnsi="Times New Roman"/>
          <w:b/>
          <w:szCs w:val="22"/>
        </w:rPr>
        <w:lastRenderedPageBreak/>
        <w:t>Форма 3 «Предложение о заключении договора»</w:t>
      </w:r>
    </w:p>
    <w:p w:rsidR="005B0A3B" w:rsidRPr="001E553B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C44CFF">
        <w:rPr>
          <w:rFonts w:ascii="Times New Roman" w:hAnsi="Times New Roman"/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62230D4B" wp14:editId="75C1F10D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0" r="0" b="381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 xml:space="preserve">НА ФИРМЕННОМ БЛАНКЕ 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Исх. номер</w:t>
                            </w:r>
                          </w:p>
                          <w:p w:rsidR="005B0A3B" w:rsidRPr="00BD5B3B" w:rsidRDefault="005B0A3B" w:rsidP="005B0A3B">
                            <w:pPr>
                              <w:rPr>
                                <w:rFonts w:ascii="Times New Roman" w:hAnsi="Times New Roman"/>
                                <w:szCs w:val="22"/>
                              </w:rPr>
                            </w:pPr>
                            <w:r w:rsidRPr="00BD5B3B">
                              <w:rPr>
                                <w:rFonts w:ascii="Times New Roman" w:hAnsi="Times New Roman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 xml:space="preserve">НА ФИРМЕННОМ БЛАНКЕ 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Исх. номер</w:t>
                      </w:r>
                    </w:p>
                    <w:p w:rsidR="005B0A3B" w:rsidRPr="00BD5B3B" w:rsidRDefault="005B0A3B" w:rsidP="005B0A3B">
                      <w:pPr>
                        <w:rPr>
                          <w:rFonts w:ascii="Times New Roman" w:hAnsi="Times New Roman"/>
                          <w:szCs w:val="22"/>
                        </w:rPr>
                      </w:pPr>
                      <w:r w:rsidRPr="00BD5B3B">
                        <w:rPr>
                          <w:rFonts w:ascii="Times New Roman" w:hAnsi="Times New Roman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5B0A3B" w:rsidRPr="001E553B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E553B">
        <w:rPr>
          <w:rFonts w:ascii="Times New Roman" w:hAnsi="Times New Roman"/>
          <w:sz w:val="24"/>
        </w:rPr>
        <w:t>Мегион</w:t>
      </w:r>
      <w:proofErr w:type="spellEnd"/>
      <w:r w:rsidRPr="001E553B">
        <w:rPr>
          <w:rFonts w:ascii="Times New Roman" w:hAnsi="Times New Roman"/>
          <w:sz w:val="24"/>
        </w:rPr>
        <w:t>, улица Кузьмина, дом 51</w:t>
      </w:r>
    </w:p>
    <w:p w:rsidR="005B0A3B" w:rsidRPr="001E553B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от ____________________________</w:t>
      </w:r>
    </w:p>
    <w:p w:rsidR="00123124" w:rsidRPr="001E553B" w:rsidRDefault="005B0A3B" w:rsidP="002A5103">
      <w:pPr>
        <w:ind w:left="5400"/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 xml:space="preserve"> _____________________________</w:t>
      </w:r>
    </w:p>
    <w:p w:rsidR="005B0A3B" w:rsidRPr="001E55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1E553B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5B0A3B" w:rsidRPr="001E553B" w:rsidRDefault="005B0A3B" w:rsidP="000127F9">
      <w:pPr>
        <w:jc w:val="center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(безотзывная оферта)</w:t>
      </w:r>
    </w:p>
    <w:p w:rsidR="005B0A3B" w:rsidRPr="001E553B" w:rsidRDefault="005B0A3B" w:rsidP="000127F9">
      <w:pPr>
        <w:ind w:left="5400"/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«____» __________________ 201_ г.</w:t>
      </w:r>
    </w:p>
    <w:p w:rsidR="005B0A3B" w:rsidRPr="001E553B" w:rsidRDefault="005B0A3B" w:rsidP="007860CD">
      <w:pPr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1E553B" w:rsidRPr="001E553B">
        <w:rPr>
          <w:rFonts w:ascii="Times New Roman" w:hAnsi="Times New Roman"/>
          <w:sz w:val="24"/>
        </w:rPr>
        <w:t>на выполнение работ по определению газовых факторов по ступеням сепарации объектов подготовки нефти</w:t>
      </w:r>
      <w:r w:rsidRPr="001E553B">
        <w:rPr>
          <w:rFonts w:ascii="Times New Roman" w:hAnsi="Times New Roman"/>
          <w:sz w:val="24"/>
        </w:rPr>
        <w:t>,</w:t>
      </w:r>
      <w:r w:rsidRPr="001E553B">
        <w:rPr>
          <w:rFonts w:ascii="Times New Roman" w:hAnsi="Times New Roman"/>
          <w:b/>
          <w:sz w:val="24"/>
        </w:rPr>
        <w:t xml:space="preserve"> </w:t>
      </w:r>
      <w:r w:rsidRPr="001E553B">
        <w:rPr>
          <w:rFonts w:ascii="Times New Roman" w:hAnsi="Times New Roman"/>
          <w:sz w:val="24"/>
        </w:rPr>
        <w:t>на следующих условиях: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5060"/>
        <w:gridCol w:w="4208"/>
      </w:tblGrid>
      <w:tr w:rsidR="005B0A3B" w:rsidRPr="001E553B" w:rsidTr="00BD5B3B">
        <w:trPr>
          <w:trHeight w:val="47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1E553B" w:rsidP="000C0B43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1E553B">
              <w:rPr>
                <w:rFonts w:ascii="Times New Roman" w:hAnsi="Times New Roman"/>
                <w:sz w:val="24"/>
                <w:szCs w:val="24"/>
              </w:rPr>
              <w:t xml:space="preserve">ыполнение работ по определению газовых факторов по ступеням сепарации объектов подготовки нефти </w:t>
            </w:r>
          </w:p>
        </w:tc>
      </w:tr>
      <w:tr w:rsidR="005B0A3B" w:rsidRPr="001E553B" w:rsidTr="00BD5B3B">
        <w:trPr>
          <w:trHeight w:val="256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  <w:r w:rsidR="001E2A1A" w:rsidRPr="001E5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1E2A1A" w:rsidRPr="001E553B" w:rsidRDefault="002D7ED0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01.02</w:t>
            </w:r>
            <w:r w:rsidR="00370449" w:rsidRPr="001E553B">
              <w:rPr>
                <w:rFonts w:ascii="Times New Roman" w:hAnsi="Times New Roman"/>
                <w:sz w:val="24"/>
                <w:szCs w:val="24"/>
              </w:rPr>
              <w:t>.2015</w:t>
            </w:r>
            <w:r w:rsidR="00E41B96" w:rsidRPr="001E5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370449" w:rsidRPr="001E553B">
              <w:rPr>
                <w:rFonts w:ascii="Times New Roman" w:hAnsi="Times New Roman"/>
                <w:sz w:val="24"/>
                <w:szCs w:val="24"/>
              </w:rPr>
              <w:t xml:space="preserve">г. </w:t>
            </w:r>
            <w:r w:rsidR="00EB4248" w:rsidRPr="001E553B">
              <w:rPr>
                <w:rFonts w:ascii="Times New Roman" w:hAnsi="Times New Roman"/>
                <w:sz w:val="24"/>
                <w:szCs w:val="24"/>
              </w:rPr>
              <w:t>по 31.12.201</w:t>
            </w:r>
            <w:r w:rsidRPr="001E553B">
              <w:rPr>
                <w:rFonts w:ascii="Times New Roman" w:hAnsi="Times New Roman"/>
                <w:sz w:val="24"/>
                <w:szCs w:val="24"/>
              </w:rPr>
              <w:t>5</w:t>
            </w:r>
            <w:r w:rsidR="00E41B96" w:rsidRPr="001E553B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1E2A1A" w:rsidRPr="001E553B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1E553B" w:rsidTr="00BD5B3B">
        <w:trPr>
          <w:trHeight w:val="220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Сумма предложения в руб. (без учета НДС)</w:t>
            </w:r>
          </w:p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1E553B" w:rsidTr="00BD5B3B">
        <w:trPr>
          <w:trHeight w:val="373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Сумма предложения в руб., с учетом НДС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5B0A3B" w:rsidRPr="001E553B" w:rsidTr="00BD5B3B">
        <w:trPr>
          <w:trHeight w:val="397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 xml:space="preserve">Принятие договора (Форма 6) в неизменном виде 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1E553B" w:rsidTr="00BD5B3B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Условия оплаты:</w:t>
            </w:r>
          </w:p>
          <w:p w:rsidR="006154C8" w:rsidRPr="001E553B" w:rsidRDefault="006154C8" w:rsidP="006154C8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Заказчик обязуется осуществить оплату выполненных работ в течение 90 календарных дней, но не ранее 60 дней </w:t>
            </w:r>
            <w:proofErr w:type="gramStart"/>
            <w:r w:rsidRPr="001E553B">
              <w:rPr>
                <w:rFonts w:ascii="Times New Roman" w:hAnsi="Times New Roman"/>
                <w:color w:val="000000"/>
                <w:sz w:val="24"/>
                <w:szCs w:val="24"/>
              </w:rPr>
              <w:t>с даты получения</w:t>
            </w:r>
            <w:proofErr w:type="gramEnd"/>
            <w:r w:rsidRPr="001E553B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от Исполнителя  оригиналов следующих документов:</w:t>
            </w:r>
          </w:p>
          <w:p w:rsidR="006154C8" w:rsidRPr="001E553B" w:rsidRDefault="006154C8" w:rsidP="006154C8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color w:val="000000"/>
                <w:sz w:val="24"/>
                <w:szCs w:val="24"/>
              </w:rPr>
              <w:t>а) акта сдачи-приемки выполненных работ;</w:t>
            </w:r>
          </w:p>
          <w:p w:rsidR="00CB3678" w:rsidRPr="001E553B" w:rsidRDefault="006154C8" w:rsidP="006154C8">
            <w:pPr>
              <w:pStyle w:val="ae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color w:val="000000"/>
                <w:sz w:val="24"/>
                <w:szCs w:val="24"/>
              </w:rPr>
              <w:t>б) счета-фактуры.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A0658C" w:rsidRPr="001E553B" w:rsidTr="0003539E">
        <w:trPr>
          <w:trHeight w:val="675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8C" w:rsidRPr="001E553B" w:rsidRDefault="00A0658C" w:rsidP="0003539E">
            <w:pPr>
              <w:pStyle w:val="ae"/>
              <w:rPr>
                <w:rFonts w:ascii="Times New Roman" w:hAnsi="Times New Roman"/>
                <w:sz w:val="24"/>
                <w:szCs w:val="24"/>
                <w:highlight w:val="yellow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Увеличение (+30%)/ уменьшение (-30%) объема работ в рамках опциона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0658C" w:rsidRPr="001E553B" w:rsidRDefault="00A0658C" w:rsidP="0003539E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да/нет</w:t>
            </w:r>
          </w:p>
        </w:tc>
      </w:tr>
      <w:tr w:rsidR="005B0A3B" w:rsidRPr="001E553B" w:rsidTr="00BD5B3B">
        <w:trPr>
          <w:trHeight w:val="344"/>
          <w:jc w:val="center"/>
        </w:trPr>
        <w:tc>
          <w:tcPr>
            <w:tcW w:w="5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E553B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42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0A3B" w:rsidRPr="001E553B" w:rsidRDefault="005B0A3B" w:rsidP="000127F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5B0A3B" w:rsidRPr="001E553B" w:rsidRDefault="005B0A3B" w:rsidP="000127F9">
      <w:pPr>
        <w:pStyle w:val="ae"/>
        <w:rPr>
          <w:rFonts w:ascii="Times New Roman" w:hAnsi="Times New Roman"/>
          <w:sz w:val="24"/>
          <w:szCs w:val="24"/>
        </w:rPr>
      </w:pPr>
    </w:p>
    <w:p w:rsidR="005B0A3B" w:rsidRPr="001E553B" w:rsidRDefault="005B0A3B" w:rsidP="002A5103">
      <w:pPr>
        <w:pStyle w:val="ae"/>
        <w:rPr>
          <w:rFonts w:ascii="Times New Roman" w:hAnsi="Times New Roman"/>
          <w:sz w:val="24"/>
          <w:szCs w:val="24"/>
        </w:rPr>
      </w:pPr>
      <w:r w:rsidRPr="001E553B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5B0A3B" w:rsidRPr="001E553B" w:rsidRDefault="005B0A3B" w:rsidP="002A5103">
      <w:pPr>
        <w:pStyle w:val="ae"/>
        <w:rPr>
          <w:rFonts w:ascii="Times New Roman" w:hAnsi="Times New Roman"/>
          <w:sz w:val="24"/>
          <w:szCs w:val="24"/>
        </w:rPr>
      </w:pPr>
      <w:r w:rsidRPr="001E553B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C60AAC" w:rsidRPr="001E553B" w:rsidRDefault="005B0A3B" w:rsidP="002A5103">
      <w:pPr>
        <w:pStyle w:val="ae"/>
        <w:rPr>
          <w:rFonts w:ascii="Times New Roman" w:hAnsi="Times New Roman"/>
          <w:sz w:val="24"/>
          <w:szCs w:val="24"/>
        </w:rPr>
      </w:pPr>
      <w:r w:rsidRPr="001E553B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</w:t>
      </w:r>
      <w:r w:rsidR="0034689A" w:rsidRPr="001E553B">
        <w:rPr>
          <w:rFonts w:ascii="Times New Roman" w:hAnsi="Times New Roman"/>
          <w:sz w:val="24"/>
          <w:szCs w:val="24"/>
        </w:rPr>
        <w:t>Таблице цен, прилагаемой</w:t>
      </w:r>
      <w:r w:rsidRPr="001E553B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5B0A3B" w:rsidRPr="001E553B" w:rsidRDefault="005B0A3B" w:rsidP="002A5103">
      <w:pPr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5B0A3B" w:rsidRPr="001E553B" w:rsidRDefault="005B0A3B" w:rsidP="002A5103">
      <w:pPr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DC6707" w:rsidRPr="001E553B" w:rsidRDefault="005B0A3B" w:rsidP="002A5103">
      <w:pPr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  <w:r w:rsidRPr="001E553B">
        <w:rPr>
          <w:rFonts w:ascii="Times New Roman" w:hAnsi="Times New Roman"/>
          <w:sz w:val="24"/>
        </w:rPr>
        <w:tab/>
      </w:r>
    </w:p>
    <w:p w:rsidR="005B0A3B" w:rsidRPr="001E553B" w:rsidRDefault="005B0A3B" w:rsidP="000127F9">
      <w:pPr>
        <w:jc w:val="both"/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sz w:val="24"/>
        </w:rPr>
        <w:t>Подпись:</w:t>
      </w:r>
    </w:p>
    <w:p w:rsidR="00C44CFF" w:rsidRPr="001E553B" w:rsidRDefault="00BC5707" w:rsidP="00731390">
      <w:pPr>
        <w:rPr>
          <w:rFonts w:ascii="Times New Roman" w:hAnsi="Times New Roman"/>
          <w:sz w:val="24"/>
        </w:rPr>
      </w:pPr>
      <w:r w:rsidRPr="001E553B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0F587E3D" wp14:editId="50EFAABF">
                <wp:simplePos x="0" y="0"/>
                <wp:positionH relativeFrom="column">
                  <wp:posOffset>4518659</wp:posOffset>
                </wp:positionH>
                <wp:positionV relativeFrom="paragraph">
                  <wp:posOffset>233680</wp:posOffset>
                </wp:positionV>
                <wp:extent cx="1266825" cy="0"/>
                <wp:effectExtent l="0" t="0" r="9525" b="19050"/>
                <wp:wrapNone/>
                <wp:docPr id="2" name="Прямая соединительная линия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266825" cy="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Прямая соединительная линия 2" o:spid="_x0000_s1026" style="position:absolute;z-index:251660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55.8pt,18.4pt" to="455.55pt,1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" strokecolor="#4579b8 [3044]"/>
            </w:pict>
          </mc:Fallback>
        </mc:AlternateContent>
      </w:r>
      <w:r w:rsidR="005B0A3B" w:rsidRPr="001E553B">
        <w:rPr>
          <w:rFonts w:ascii="Times New Roman" w:hAnsi="Times New Roman"/>
          <w:sz w:val="24"/>
        </w:rPr>
        <w:tab/>
        <w:t>МП</w:t>
      </w:r>
      <w:r w:rsidR="005B0A3B" w:rsidRPr="001E553B">
        <w:rPr>
          <w:rFonts w:ascii="Times New Roman" w:hAnsi="Times New Roman"/>
          <w:sz w:val="24"/>
        </w:rPr>
        <w:tab/>
      </w:r>
      <w:r w:rsidR="005B0A3B" w:rsidRPr="001E553B">
        <w:rPr>
          <w:rFonts w:ascii="Times New Roman" w:hAnsi="Times New Roman"/>
          <w:sz w:val="24"/>
        </w:rPr>
        <w:tab/>
      </w:r>
      <w:r w:rsidR="005B0A3B" w:rsidRPr="001E553B">
        <w:rPr>
          <w:rFonts w:ascii="Times New Roman" w:hAnsi="Times New Roman"/>
          <w:sz w:val="24"/>
        </w:rPr>
        <w:tab/>
      </w:r>
      <w:r w:rsidR="005B0A3B" w:rsidRPr="001E553B">
        <w:rPr>
          <w:rFonts w:ascii="Times New Roman" w:hAnsi="Times New Roman"/>
          <w:sz w:val="24"/>
        </w:rPr>
        <w:tab/>
        <w:t xml:space="preserve">                                 </w:t>
      </w:r>
      <w:r w:rsidR="00731390" w:rsidRPr="001E553B">
        <w:rPr>
          <w:rFonts w:ascii="Times New Roman" w:hAnsi="Times New Roman"/>
          <w:sz w:val="24"/>
        </w:rPr>
        <w:t xml:space="preserve">         </w:t>
      </w:r>
      <w:r w:rsidR="007D1432" w:rsidRPr="001E553B">
        <w:rPr>
          <w:rFonts w:ascii="Times New Roman" w:hAnsi="Times New Roman"/>
          <w:b/>
          <w:sz w:val="24"/>
        </w:rPr>
        <w:t xml:space="preserve">                                                           </w:t>
      </w:r>
      <w:r w:rsidR="00731390" w:rsidRPr="001E553B">
        <w:rPr>
          <w:rFonts w:ascii="Times New Roman" w:hAnsi="Times New Roman"/>
          <w:b/>
          <w:sz w:val="24"/>
        </w:rPr>
        <w:t xml:space="preserve">                               </w:t>
      </w:r>
      <w:r w:rsidR="007D1432" w:rsidRPr="001E553B">
        <w:rPr>
          <w:rFonts w:ascii="Times New Roman" w:hAnsi="Times New Roman"/>
          <w:b/>
          <w:sz w:val="24"/>
        </w:rPr>
        <w:t xml:space="preserve"> </w:t>
      </w:r>
      <w:r w:rsidR="008921BD" w:rsidRPr="001E553B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</w:t>
      </w:r>
    </w:p>
    <w:p w:rsidR="001E553B" w:rsidRDefault="00C44CFF" w:rsidP="00D85647">
      <w:pPr>
        <w:jc w:val="center"/>
        <w:rPr>
          <w:rFonts w:ascii="Times New Roman" w:hAnsi="Times New Roman"/>
          <w:b/>
          <w:sz w:val="24"/>
        </w:rPr>
      </w:pPr>
      <w:r w:rsidRPr="001E553B">
        <w:rPr>
          <w:rFonts w:ascii="Times New Roman" w:hAnsi="Times New Roman"/>
          <w:b/>
          <w:sz w:val="24"/>
        </w:rPr>
        <w:t xml:space="preserve">                                                                                                                </w:t>
      </w:r>
    </w:p>
    <w:p w:rsidR="005B0A3B" w:rsidRPr="000A6477" w:rsidRDefault="008E36C4" w:rsidP="00D85647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lastRenderedPageBreak/>
        <w:t xml:space="preserve">                                                                                                                 </w:t>
      </w:r>
      <w:r w:rsidR="005B0A3B" w:rsidRPr="000A6477">
        <w:rPr>
          <w:rFonts w:ascii="Times New Roman" w:hAnsi="Times New Roman"/>
          <w:b/>
          <w:sz w:val="24"/>
        </w:rPr>
        <w:t xml:space="preserve">Форма 5 </w:t>
      </w:r>
      <w:r w:rsidR="002A5103">
        <w:rPr>
          <w:rFonts w:ascii="Times New Roman" w:hAnsi="Times New Roman"/>
          <w:b/>
          <w:sz w:val="24"/>
        </w:rPr>
        <w:t>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0A6477" w:rsidTr="000127F9">
        <w:trPr>
          <w:trHeight w:val="369"/>
        </w:trPr>
        <w:tc>
          <w:tcPr>
            <w:tcW w:w="5103" w:type="dxa"/>
          </w:tcPr>
          <w:p w:rsidR="005B0A3B" w:rsidRPr="000A6477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561886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Протокол  № ___</w:t>
            </w:r>
            <w:r w:rsidR="00561886">
              <w:rPr>
                <w:rFonts w:ascii="Times New Roman" w:hAnsi="Times New Roman"/>
                <w:sz w:val="24"/>
              </w:rPr>
              <w:t>323</w:t>
            </w:r>
            <w:r w:rsidRPr="000A6477">
              <w:rPr>
                <w:rFonts w:ascii="Times New Roman" w:hAnsi="Times New Roman"/>
                <w:sz w:val="24"/>
              </w:rPr>
              <w:t>_______</w:t>
            </w:r>
          </w:p>
        </w:tc>
      </w:tr>
      <w:tr w:rsidR="005B0A3B" w:rsidRPr="000A6477" w:rsidTr="000127F9">
        <w:trPr>
          <w:trHeight w:val="391"/>
        </w:trPr>
        <w:tc>
          <w:tcPr>
            <w:tcW w:w="5103" w:type="dxa"/>
          </w:tcPr>
          <w:p w:rsidR="005B0A3B" w:rsidRPr="000A6477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0A6477" w:rsidRDefault="005B0A3B" w:rsidP="00561886">
            <w:pPr>
              <w:jc w:val="right"/>
              <w:rPr>
                <w:rFonts w:ascii="Times New Roman" w:hAnsi="Times New Roman"/>
                <w:sz w:val="24"/>
              </w:rPr>
            </w:pPr>
            <w:r w:rsidRPr="000A6477">
              <w:rPr>
                <w:rFonts w:ascii="Times New Roman" w:hAnsi="Times New Roman"/>
                <w:sz w:val="24"/>
              </w:rPr>
              <w:t>«_</w:t>
            </w:r>
            <w:r w:rsidR="00561886">
              <w:rPr>
                <w:rFonts w:ascii="Times New Roman" w:hAnsi="Times New Roman"/>
                <w:sz w:val="24"/>
              </w:rPr>
              <w:t>15</w:t>
            </w:r>
            <w:r w:rsidRPr="000A6477">
              <w:rPr>
                <w:rFonts w:ascii="Times New Roman" w:hAnsi="Times New Roman"/>
                <w:sz w:val="24"/>
              </w:rPr>
              <w:t>__» ___</w:t>
            </w:r>
            <w:r w:rsidR="00561886">
              <w:rPr>
                <w:rFonts w:ascii="Times New Roman" w:hAnsi="Times New Roman"/>
                <w:sz w:val="24"/>
              </w:rPr>
              <w:t>10</w:t>
            </w:r>
            <w:r w:rsidRPr="000A6477">
              <w:rPr>
                <w:rFonts w:ascii="Times New Roman" w:hAnsi="Times New Roman"/>
                <w:sz w:val="24"/>
              </w:rPr>
              <w:t>______  _</w:t>
            </w:r>
            <w:r w:rsidR="00561886">
              <w:rPr>
                <w:rFonts w:ascii="Times New Roman" w:hAnsi="Times New Roman"/>
                <w:sz w:val="24"/>
              </w:rPr>
              <w:t>2014</w:t>
            </w:r>
            <w:r w:rsidRPr="000A6477">
              <w:rPr>
                <w:rFonts w:ascii="Times New Roman" w:hAnsi="Times New Roman"/>
                <w:sz w:val="24"/>
              </w:rPr>
              <w:t>_ г.</w:t>
            </w:r>
          </w:p>
        </w:tc>
      </w:tr>
    </w:tbl>
    <w:p w:rsidR="005B0A3B" w:rsidRPr="000A6477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5B0A3B" w:rsidRDefault="005B0A3B" w:rsidP="000127F9">
      <w:pPr>
        <w:jc w:val="center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>ТРЕБОВАНИЯ К ПРЕДМЕТУ ОФЕРТЫ</w:t>
      </w:r>
    </w:p>
    <w:p w:rsidR="002A5103" w:rsidRPr="000A6477" w:rsidRDefault="002A5103" w:rsidP="000127F9">
      <w:pPr>
        <w:jc w:val="center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b/>
          <w:sz w:val="24"/>
        </w:rPr>
        <w:t>(техническое задание)</w:t>
      </w:r>
    </w:p>
    <w:p w:rsidR="005B0A3B" w:rsidRPr="000A6477" w:rsidRDefault="005B0A3B" w:rsidP="000127F9">
      <w:pPr>
        <w:jc w:val="both"/>
        <w:rPr>
          <w:rFonts w:ascii="Times New Roman" w:hAnsi="Times New Roman"/>
          <w:sz w:val="24"/>
        </w:rPr>
      </w:pP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Общие положения </w:t>
      </w:r>
    </w:p>
    <w:p w:rsidR="00057F45" w:rsidRPr="00A02374" w:rsidRDefault="00DC4115" w:rsidP="00B80638">
      <w:pPr>
        <w:pStyle w:val="ab"/>
        <w:numPr>
          <w:ilvl w:val="0"/>
          <w:numId w:val="15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3"/>
          <w:szCs w:val="23"/>
        </w:rPr>
      </w:pPr>
      <w:r w:rsidRPr="00A02374">
        <w:rPr>
          <w:rFonts w:ascii="Times New Roman" w:hAnsi="Times New Roman"/>
          <w:sz w:val="23"/>
          <w:szCs w:val="23"/>
        </w:rPr>
        <w:t xml:space="preserve">Вид выполнения работ: </w:t>
      </w:r>
      <w:r w:rsidR="00B80638" w:rsidRPr="00A02374">
        <w:rPr>
          <w:rFonts w:ascii="Times New Roman" w:hAnsi="Times New Roman"/>
          <w:sz w:val="23"/>
          <w:szCs w:val="23"/>
        </w:rPr>
        <w:t xml:space="preserve">определение газовых факторов по ступеням сепарации объектов подготовки нефти: ОАО «СН-МНГ», ОАО "НГК </w:t>
      </w:r>
      <w:proofErr w:type="spellStart"/>
      <w:r w:rsidR="00B80638" w:rsidRPr="00A02374">
        <w:rPr>
          <w:rFonts w:ascii="Times New Roman" w:hAnsi="Times New Roman"/>
          <w:sz w:val="23"/>
          <w:szCs w:val="23"/>
        </w:rPr>
        <w:t>Славнефть</w:t>
      </w:r>
      <w:proofErr w:type="spellEnd"/>
      <w:r w:rsidR="00B80638" w:rsidRPr="00A02374">
        <w:rPr>
          <w:rFonts w:ascii="Times New Roman" w:hAnsi="Times New Roman"/>
          <w:sz w:val="23"/>
          <w:szCs w:val="23"/>
        </w:rPr>
        <w:t>", ООО "</w:t>
      </w:r>
      <w:proofErr w:type="spellStart"/>
      <w:r w:rsidR="00B80638" w:rsidRPr="00A02374">
        <w:rPr>
          <w:rFonts w:ascii="Times New Roman" w:hAnsi="Times New Roman"/>
          <w:sz w:val="23"/>
          <w:szCs w:val="23"/>
        </w:rPr>
        <w:t>Славнефть</w:t>
      </w:r>
      <w:proofErr w:type="spellEnd"/>
      <w:r w:rsidR="00B80638" w:rsidRPr="00A02374">
        <w:rPr>
          <w:rFonts w:ascii="Times New Roman" w:hAnsi="Times New Roman"/>
          <w:sz w:val="23"/>
          <w:szCs w:val="23"/>
        </w:rPr>
        <w:t>-Нижневартовск", ОАО  "Соболь", ОАО  "СН-МНГГ", ЗАО "</w:t>
      </w:r>
      <w:proofErr w:type="spellStart"/>
      <w:r w:rsidR="00B80638" w:rsidRPr="00A02374">
        <w:rPr>
          <w:rFonts w:ascii="Times New Roman" w:hAnsi="Times New Roman"/>
          <w:sz w:val="23"/>
          <w:szCs w:val="23"/>
        </w:rPr>
        <w:t>Обьнефтегеология</w:t>
      </w:r>
      <w:proofErr w:type="spellEnd"/>
      <w:r w:rsidR="00B80638" w:rsidRPr="00A02374">
        <w:rPr>
          <w:rFonts w:ascii="Times New Roman" w:hAnsi="Times New Roman"/>
          <w:sz w:val="23"/>
          <w:szCs w:val="23"/>
        </w:rPr>
        <w:t>"</w:t>
      </w:r>
      <w:r w:rsidR="00A02374" w:rsidRPr="00A02374">
        <w:rPr>
          <w:rFonts w:ascii="Times New Roman" w:hAnsi="Times New Roman"/>
          <w:sz w:val="23"/>
          <w:szCs w:val="23"/>
        </w:rPr>
        <w:t>, ОАО "</w:t>
      </w:r>
      <w:proofErr w:type="spellStart"/>
      <w:r w:rsidR="00A02374" w:rsidRPr="00A02374">
        <w:rPr>
          <w:rFonts w:ascii="Times New Roman" w:hAnsi="Times New Roman"/>
          <w:sz w:val="23"/>
          <w:szCs w:val="23"/>
        </w:rPr>
        <w:t>Обьнефтегазгеология</w:t>
      </w:r>
      <w:proofErr w:type="spellEnd"/>
      <w:r w:rsidR="00A02374" w:rsidRPr="00A02374">
        <w:rPr>
          <w:rFonts w:ascii="Times New Roman" w:hAnsi="Times New Roman"/>
          <w:sz w:val="23"/>
          <w:szCs w:val="23"/>
        </w:rPr>
        <w:t>"»</w:t>
      </w:r>
      <w:r w:rsidR="005548C2" w:rsidRPr="00A02374">
        <w:rPr>
          <w:rFonts w:ascii="Times New Roman" w:hAnsi="Times New Roman"/>
          <w:sz w:val="23"/>
          <w:szCs w:val="23"/>
        </w:rPr>
        <w:t xml:space="preserve">, ОАО  "Соболь", </w:t>
      </w:r>
      <w:r w:rsidR="00141071" w:rsidRPr="00A02374">
        <w:rPr>
          <w:rFonts w:ascii="Times New Roman" w:hAnsi="Times New Roman"/>
          <w:sz w:val="23"/>
          <w:szCs w:val="23"/>
        </w:rPr>
        <w:t>ОАО "СН-МНГ</w:t>
      </w:r>
      <w:r w:rsidR="00395C8E" w:rsidRPr="00A02374">
        <w:rPr>
          <w:rFonts w:ascii="Times New Roman" w:hAnsi="Times New Roman"/>
          <w:sz w:val="23"/>
          <w:szCs w:val="23"/>
        </w:rPr>
        <w:t>Г</w:t>
      </w:r>
      <w:r w:rsidR="005548C2" w:rsidRPr="00A02374">
        <w:rPr>
          <w:rFonts w:ascii="Times New Roman" w:hAnsi="Times New Roman"/>
          <w:sz w:val="23"/>
          <w:szCs w:val="23"/>
        </w:rPr>
        <w:t>", ЗАО "</w:t>
      </w:r>
      <w:proofErr w:type="spellStart"/>
      <w:r w:rsidR="005548C2" w:rsidRPr="00A02374">
        <w:rPr>
          <w:rFonts w:ascii="Times New Roman" w:hAnsi="Times New Roman"/>
          <w:sz w:val="23"/>
          <w:szCs w:val="23"/>
        </w:rPr>
        <w:t>Обьнефтегеология</w:t>
      </w:r>
      <w:proofErr w:type="spellEnd"/>
      <w:r w:rsidR="005548C2" w:rsidRPr="00A02374">
        <w:rPr>
          <w:rFonts w:ascii="Times New Roman" w:hAnsi="Times New Roman"/>
          <w:sz w:val="23"/>
          <w:szCs w:val="23"/>
        </w:rPr>
        <w:t>", ОАО "</w:t>
      </w:r>
      <w:proofErr w:type="spellStart"/>
      <w:r w:rsidR="005548C2" w:rsidRPr="00A02374">
        <w:rPr>
          <w:rFonts w:ascii="Times New Roman" w:hAnsi="Times New Roman"/>
          <w:sz w:val="23"/>
          <w:szCs w:val="23"/>
        </w:rPr>
        <w:t>Обьнефтегазгеология</w:t>
      </w:r>
      <w:proofErr w:type="spellEnd"/>
      <w:r w:rsidR="005548C2" w:rsidRPr="00A02374">
        <w:rPr>
          <w:rFonts w:ascii="Times New Roman" w:hAnsi="Times New Roman"/>
          <w:sz w:val="23"/>
          <w:szCs w:val="23"/>
        </w:rPr>
        <w:t>"</w:t>
      </w:r>
      <w:r w:rsidR="00057F45" w:rsidRPr="00A02374">
        <w:rPr>
          <w:rFonts w:ascii="Times New Roman" w:hAnsi="Times New Roman"/>
          <w:sz w:val="23"/>
          <w:szCs w:val="23"/>
        </w:rPr>
        <w:t>.</w:t>
      </w:r>
      <w:r w:rsidRPr="00A02374">
        <w:rPr>
          <w:rFonts w:ascii="Times New Roman" w:hAnsi="Times New Roman"/>
          <w:sz w:val="23"/>
          <w:szCs w:val="23"/>
        </w:rPr>
        <w:t xml:space="preserve"> </w:t>
      </w:r>
    </w:p>
    <w:p w:rsidR="005B0A3B" w:rsidRPr="00B77356" w:rsidRDefault="005B0A3B" w:rsidP="002616A0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B77356">
        <w:rPr>
          <w:rFonts w:ascii="Times New Roman" w:hAnsi="Times New Roman"/>
          <w:sz w:val="24"/>
        </w:rPr>
        <w:t>Заказчик: ОАО «СН-МНГ».</w:t>
      </w:r>
    </w:p>
    <w:p w:rsidR="005B0A3B" w:rsidRPr="000A6477" w:rsidRDefault="005B0A3B" w:rsidP="00B60B9D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Плановые сроки выполнения работ: </w:t>
      </w:r>
      <w:r w:rsidR="00370449">
        <w:rPr>
          <w:rFonts w:ascii="Times New Roman" w:hAnsi="Times New Roman"/>
          <w:sz w:val="24"/>
        </w:rPr>
        <w:t>01</w:t>
      </w:r>
      <w:r w:rsidR="00103857" w:rsidRPr="000A6477">
        <w:rPr>
          <w:rFonts w:ascii="Times New Roman" w:hAnsi="Times New Roman"/>
          <w:sz w:val="24"/>
        </w:rPr>
        <w:t>.</w:t>
      </w:r>
      <w:r w:rsidR="00895A8F">
        <w:rPr>
          <w:rFonts w:ascii="Times New Roman" w:hAnsi="Times New Roman"/>
          <w:sz w:val="24"/>
        </w:rPr>
        <w:t>0</w:t>
      </w:r>
      <w:r w:rsidR="00845954">
        <w:rPr>
          <w:rFonts w:ascii="Times New Roman" w:hAnsi="Times New Roman"/>
          <w:sz w:val="24"/>
        </w:rPr>
        <w:t>2</w:t>
      </w:r>
      <w:r w:rsidR="00103857" w:rsidRPr="000A6477">
        <w:rPr>
          <w:rFonts w:ascii="Times New Roman" w:hAnsi="Times New Roman"/>
          <w:sz w:val="24"/>
        </w:rPr>
        <w:t>.201</w:t>
      </w:r>
      <w:r w:rsidR="00370449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– 31.12.201</w:t>
      </w:r>
      <w:r w:rsidR="00845954">
        <w:rPr>
          <w:rFonts w:ascii="Times New Roman" w:hAnsi="Times New Roman"/>
          <w:sz w:val="24"/>
        </w:rPr>
        <w:t>5</w:t>
      </w:r>
      <w:r w:rsidR="00103857" w:rsidRPr="000A6477">
        <w:rPr>
          <w:rFonts w:ascii="Times New Roman" w:hAnsi="Times New Roman"/>
          <w:sz w:val="24"/>
        </w:rPr>
        <w:t xml:space="preserve"> гг.</w:t>
      </w:r>
    </w:p>
    <w:p w:rsidR="005B0A3B" w:rsidRPr="000A6477" w:rsidRDefault="005B0A3B" w:rsidP="00B60B9D">
      <w:pPr>
        <w:pStyle w:val="ab"/>
        <w:numPr>
          <w:ilvl w:val="0"/>
          <w:numId w:val="1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Стартовая стоимость договора (в рублях без учета НДС 18%): без объявления стартовой стоимости;</w:t>
      </w:r>
    </w:p>
    <w:p w:rsidR="005B0A3B" w:rsidRPr="000A6477" w:rsidRDefault="005B0A3B" w:rsidP="000127F9">
      <w:pPr>
        <w:pStyle w:val="ab"/>
        <w:numPr>
          <w:ilvl w:val="0"/>
          <w:numId w:val="12"/>
        </w:numPr>
        <w:tabs>
          <w:tab w:val="num" w:pos="78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Порядок оплаты: </w:t>
      </w:r>
    </w:p>
    <w:p w:rsidR="00AD6FC0" w:rsidRPr="00AD6FC0" w:rsidRDefault="00AD6FC0" w:rsidP="00AD6FC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6FC0">
        <w:rPr>
          <w:rFonts w:ascii="Times New Roman" w:hAnsi="Times New Roman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AD6FC0">
        <w:rPr>
          <w:rFonts w:ascii="Times New Roman" w:hAnsi="Times New Roman"/>
          <w:sz w:val="24"/>
        </w:rPr>
        <w:t>с даты получения</w:t>
      </w:r>
      <w:proofErr w:type="gramEnd"/>
      <w:r w:rsidRPr="00AD6FC0">
        <w:rPr>
          <w:rFonts w:ascii="Times New Roman" w:hAnsi="Times New Roman"/>
          <w:sz w:val="24"/>
        </w:rPr>
        <w:t xml:space="preserve"> от Исполнителя  оригиналов следующих документов:</w:t>
      </w:r>
    </w:p>
    <w:p w:rsidR="00AD6FC0" w:rsidRPr="00AD6FC0" w:rsidRDefault="00AD6FC0" w:rsidP="00AD6FC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6FC0">
        <w:rPr>
          <w:rFonts w:ascii="Times New Roman" w:hAnsi="Times New Roman"/>
          <w:sz w:val="24"/>
        </w:rPr>
        <w:t>а) акта сдачи-приемки выполненных работ;</w:t>
      </w:r>
    </w:p>
    <w:p w:rsidR="00AD6FC0" w:rsidRDefault="00AD6FC0" w:rsidP="00AD6FC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AD6FC0">
        <w:rPr>
          <w:rFonts w:ascii="Times New Roman" w:hAnsi="Times New Roman"/>
          <w:sz w:val="24"/>
        </w:rPr>
        <w:t>б) счета-фактуры.</w:t>
      </w:r>
    </w:p>
    <w:p w:rsidR="005B0A3B" w:rsidRPr="000A6477" w:rsidRDefault="00EA2C02" w:rsidP="00AD6FC0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Н</w:t>
      </w:r>
      <w:r w:rsidR="005B0A3B" w:rsidRPr="000A6477">
        <w:rPr>
          <w:rFonts w:ascii="Times New Roman" w:hAnsi="Times New Roman"/>
          <w:sz w:val="24"/>
        </w:rPr>
        <w:t>а основании условий предлагаемых к заключению Договора подряда (Форма 6).</w:t>
      </w:r>
    </w:p>
    <w:p w:rsidR="005B0A3B" w:rsidRPr="000A6477" w:rsidRDefault="005B0A3B" w:rsidP="000127F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Основные требования к выполнению работ: </w:t>
      </w:r>
    </w:p>
    <w:p w:rsidR="00DE55A5" w:rsidRPr="007B7AAC" w:rsidRDefault="00BD40B8" w:rsidP="00DE55A5">
      <w:pPr>
        <w:pStyle w:val="af"/>
        <w:spacing w:line="276" w:lineRule="auto"/>
        <w:ind w:left="0"/>
        <w:jc w:val="both"/>
      </w:pPr>
      <w:r w:rsidRPr="009C7108">
        <w:rPr>
          <w:iCs/>
        </w:rPr>
        <w:t>Качественное, своевременное выполнение объемов работ</w:t>
      </w:r>
      <w:r w:rsidR="00DD39AD" w:rsidRPr="009C7108">
        <w:rPr>
          <w:iCs/>
        </w:rPr>
        <w:t>,</w:t>
      </w:r>
      <w:r w:rsidRPr="009C7108">
        <w:rPr>
          <w:iCs/>
        </w:rPr>
        <w:t xml:space="preserve">  на основании условий предлагаемых к заключению Договора (Форма 6) по минимальной стоимости и </w:t>
      </w:r>
      <w:r w:rsidR="00751C1C" w:rsidRPr="009C7108">
        <w:rPr>
          <w:iCs/>
        </w:rPr>
        <w:t xml:space="preserve"> требованиям, изложенны</w:t>
      </w:r>
      <w:r w:rsidR="0025060D">
        <w:rPr>
          <w:iCs/>
        </w:rPr>
        <w:t>м</w:t>
      </w:r>
      <w:r w:rsidR="00B77356" w:rsidRPr="009C7108">
        <w:rPr>
          <w:iCs/>
        </w:rPr>
        <w:t xml:space="preserve"> </w:t>
      </w:r>
      <w:r w:rsidR="00764C0E" w:rsidRPr="00B05DE9">
        <w:rPr>
          <w:iCs/>
        </w:rPr>
        <w:t>в Приложени</w:t>
      </w:r>
      <w:r w:rsidR="00261BB5">
        <w:rPr>
          <w:iCs/>
        </w:rPr>
        <w:t>и</w:t>
      </w:r>
      <w:r w:rsidR="00764C0E" w:rsidRPr="00B05DE9">
        <w:rPr>
          <w:iCs/>
        </w:rPr>
        <w:t xml:space="preserve"> </w:t>
      </w:r>
      <w:r w:rsidR="00057F45">
        <w:rPr>
          <w:iCs/>
        </w:rPr>
        <w:t>№</w:t>
      </w:r>
      <w:r w:rsidR="00764C0E" w:rsidRPr="00B05DE9">
        <w:rPr>
          <w:iCs/>
        </w:rPr>
        <w:t xml:space="preserve"> 1</w:t>
      </w:r>
      <w:r w:rsidR="00261BB5">
        <w:rPr>
          <w:iCs/>
        </w:rPr>
        <w:t xml:space="preserve"> </w:t>
      </w:r>
      <w:r w:rsidR="00764C0E">
        <w:rPr>
          <w:iCs/>
        </w:rPr>
        <w:t xml:space="preserve">к </w:t>
      </w:r>
      <w:r w:rsidR="00764C0E" w:rsidRPr="000A6477">
        <w:rPr>
          <w:iCs/>
        </w:rPr>
        <w:t xml:space="preserve"> «</w:t>
      </w:r>
      <w:r w:rsidR="00764C0E" w:rsidRPr="000A6477">
        <w:rPr>
          <w:b/>
          <w:iCs/>
        </w:rPr>
        <w:t>Техническо</w:t>
      </w:r>
      <w:r w:rsidR="00764C0E">
        <w:rPr>
          <w:b/>
          <w:iCs/>
        </w:rPr>
        <w:t>му</w:t>
      </w:r>
      <w:r w:rsidR="00764C0E" w:rsidRPr="000A6477">
        <w:rPr>
          <w:b/>
          <w:iCs/>
        </w:rPr>
        <w:t xml:space="preserve"> задани</w:t>
      </w:r>
      <w:r w:rsidR="00764C0E">
        <w:rPr>
          <w:b/>
          <w:iCs/>
        </w:rPr>
        <w:t>ю</w:t>
      </w:r>
      <w:r w:rsidR="00764C0E" w:rsidRPr="000A6477">
        <w:rPr>
          <w:b/>
          <w:iCs/>
        </w:rPr>
        <w:t>»</w:t>
      </w:r>
      <w:r w:rsidR="00764C0E">
        <w:rPr>
          <w:b/>
          <w:iCs/>
        </w:rPr>
        <w:t xml:space="preserve"> </w:t>
      </w:r>
      <w:r w:rsidR="00764C0E" w:rsidRPr="00124AA3">
        <w:rPr>
          <w:iCs/>
        </w:rPr>
        <w:t>(Форма 5).</w:t>
      </w:r>
      <w:r w:rsidR="00764C0E" w:rsidRPr="000A6477">
        <w:rPr>
          <w:b/>
          <w:iCs/>
        </w:rPr>
        <w:t xml:space="preserve"> </w:t>
      </w:r>
      <w:r w:rsidR="00764C0E" w:rsidRPr="000A6477">
        <w:t xml:space="preserve">Обязательным условием является заполнение </w:t>
      </w:r>
      <w:r w:rsidR="00764C0E">
        <w:t>таблицы цен (Форма 4)</w:t>
      </w:r>
      <w:r w:rsidR="00764C0E" w:rsidRPr="000A6477">
        <w:t>.</w:t>
      </w:r>
    </w:p>
    <w:p w:rsidR="00230F80" w:rsidRPr="000A6477" w:rsidRDefault="00230F80" w:rsidP="00DE55A5">
      <w:pPr>
        <w:pStyle w:val="af"/>
        <w:spacing w:line="276" w:lineRule="auto"/>
        <w:ind w:left="0"/>
        <w:jc w:val="both"/>
        <w:rPr>
          <w:b/>
        </w:rPr>
      </w:pPr>
      <w:r w:rsidRPr="000A6477">
        <w:rPr>
          <w:b/>
        </w:rPr>
        <w:t xml:space="preserve">Основные требования к Претенденту. </w:t>
      </w:r>
    </w:p>
    <w:p w:rsidR="00B05352" w:rsidRPr="008D5E0A" w:rsidRDefault="005A45A5" w:rsidP="009A6995">
      <w:pPr>
        <w:pStyle w:val="ab"/>
        <w:numPr>
          <w:ilvl w:val="0"/>
          <w:numId w:val="20"/>
        </w:numPr>
        <w:tabs>
          <w:tab w:val="left" w:pos="0"/>
        </w:tabs>
        <w:ind w:left="0" w:firstLin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Соответствие  </w:t>
      </w:r>
      <w:r w:rsidR="00B008AF" w:rsidRPr="00BB14C1">
        <w:rPr>
          <w:rFonts w:ascii="Times New Roman" w:hAnsi="Times New Roman"/>
          <w:sz w:val="24"/>
        </w:rPr>
        <w:t xml:space="preserve">требованиям </w:t>
      </w:r>
      <w:r w:rsidR="00B008AF" w:rsidRPr="00436061">
        <w:rPr>
          <w:rFonts w:ascii="Times New Roman" w:hAnsi="Times New Roman"/>
          <w:sz w:val="24"/>
        </w:rPr>
        <w:t>критери</w:t>
      </w:r>
      <w:r w:rsidR="00B008AF">
        <w:rPr>
          <w:rFonts w:ascii="Times New Roman" w:hAnsi="Times New Roman"/>
          <w:sz w:val="24"/>
        </w:rPr>
        <w:t>й</w:t>
      </w:r>
      <w:r w:rsidR="00B008AF" w:rsidRPr="00436061">
        <w:rPr>
          <w:rFonts w:ascii="Times New Roman" w:hAnsi="Times New Roman"/>
          <w:sz w:val="24"/>
        </w:rPr>
        <w:t xml:space="preserve"> технической оценки оферт участников закупки </w:t>
      </w:r>
      <w:r w:rsidR="004C3A82">
        <w:rPr>
          <w:rFonts w:ascii="Times New Roman" w:hAnsi="Times New Roman"/>
          <w:sz w:val="24"/>
        </w:rPr>
        <w:t xml:space="preserve"> для оказания </w:t>
      </w:r>
      <w:r w:rsidR="00B008AF" w:rsidRPr="00436061">
        <w:rPr>
          <w:rFonts w:ascii="Times New Roman" w:hAnsi="Times New Roman"/>
          <w:sz w:val="24"/>
        </w:rPr>
        <w:t>услуг по типу сделки</w:t>
      </w:r>
      <w:r w:rsidR="00B008AF" w:rsidRPr="008D5E0A">
        <w:rPr>
          <w:rFonts w:ascii="Times New Roman" w:hAnsi="Times New Roman"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</w:t>
      </w:r>
      <w:r w:rsidR="009A6995">
        <w:rPr>
          <w:rFonts w:ascii="Times New Roman" w:hAnsi="Times New Roman"/>
          <w:sz w:val="24"/>
        </w:rPr>
        <w:t>202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9A6995" w:rsidRPr="009A6995">
        <w:rPr>
          <w:rFonts w:ascii="Times New Roman" w:hAnsi="Times New Roman"/>
          <w:sz w:val="23"/>
          <w:szCs w:val="23"/>
          <w:u w:val="single"/>
        </w:rPr>
        <w:t>Разработка нормативной документации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34689A">
        <w:rPr>
          <w:rFonts w:ascii="Times New Roman" w:hAnsi="Times New Roman"/>
          <w:sz w:val="24"/>
        </w:rPr>
        <w:t xml:space="preserve"> (Форма 9</w:t>
      </w:r>
      <w:r w:rsidR="00B05352" w:rsidRPr="008D5E0A">
        <w:rPr>
          <w:rFonts w:ascii="Times New Roman" w:hAnsi="Times New Roman"/>
          <w:sz w:val="24"/>
        </w:rPr>
        <w:t>);</w:t>
      </w:r>
    </w:p>
    <w:p w:rsidR="00230F80" w:rsidRPr="00A06417" w:rsidRDefault="00B008AF" w:rsidP="00E56069">
      <w:pPr>
        <w:pStyle w:val="ab"/>
        <w:numPr>
          <w:ilvl w:val="0"/>
          <w:numId w:val="18"/>
        </w:numPr>
        <w:spacing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3290A">
        <w:rPr>
          <w:rFonts w:ascii="Times New Roman" w:hAnsi="Times New Roman"/>
          <w:sz w:val="24"/>
        </w:rPr>
        <w:t xml:space="preserve">Предоставление полного пакета документов к требованиям </w:t>
      </w:r>
      <w:r w:rsidRPr="00436061">
        <w:rPr>
          <w:rFonts w:ascii="Times New Roman" w:hAnsi="Times New Roman"/>
          <w:sz w:val="24"/>
        </w:rPr>
        <w:t>критери</w:t>
      </w:r>
      <w:r>
        <w:rPr>
          <w:rFonts w:ascii="Times New Roman" w:hAnsi="Times New Roman"/>
          <w:sz w:val="24"/>
        </w:rPr>
        <w:t>й</w:t>
      </w:r>
      <w:r w:rsidRPr="00436061">
        <w:rPr>
          <w:rFonts w:ascii="Times New Roman" w:hAnsi="Times New Roman"/>
          <w:sz w:val="24"/>
        </w:rPr>
        <w:t xml:space="preserve"> технической оценки оферт участников закупки </w:t>
      </w:r>
      <w:r w:rsidR="00D2338C">
        <w:rPr>
          <w:rFonts w:ascii="Times New Roman" w:hAnsi="Times New Roman"/>
          <w:sz w:val="24"/>
        </w:rPr>
        <w:t xml:space="preserve"> для оказания </w:t>
      </w:r>
      <w:r w:rsidRPr="00436061">
        <w:rPr>
          <w:rFonts w:ascii="Times New Roman" w:hAnsi="Times New Roman"/>
          <w:sz w:val="24"/>
        </w:rPr>
        <w:t>услуг</w:t>
      </w:r>
      <w:r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</w:rPr>
        <w:t xml:space="preserve"> по тип</w:t>
      </w:r>
      <w:r w:rsidR="00B05352">
        <w:rPr>
          <w:rFonts w:ascii="Times New Roman" w:hAnsi="Times New Roman"/>
          <w:sz w:val="24"/>
        </w:rPr>
        <w:t>у</w:t>
      </w:r>
      <w:r w:rsidR="00B05352" w:rsidRPr="008D5E0A">
        <w:rPr>
          <w:rFonts w:ascii="Times New Roman" w:hAnsi="Times New Roman"/>
          <w:sz w:val="24"/>
        </w:rPr>
        <w:t xml:space="preserve"> сделк</w:t>
      </w:r>
      <w:r w:rsidR="00B05352">
        <w:rPr>
          <w:rFonts w:ascii="Times New Roman" w:hAnsi="Times New Roman"/>
          <w:sz w:val="24"/>
        </w:rPr>
        <w:t>и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b/>
          <w:sz w:val="24"/>
        </w:rPr>
        <w:t xml:space="preserve"> </w:t>
      </w:r>
      <w:r w:rsidR="00BE6C37">
        <w:rPr>
          <w:rFonts w:ascii="Times New Roman" w:hAnsi="Times New Roman"/>
          <w:sz w:val="24"/>
        </w:rPr>
        <w:t>1</w:t>
      </w:r>
      <w:r w:rsidR="00B878A0">
        <w:rPr>
          <w:rFonts w:ascii="Times New Roman" w:hAnsi="Times New Roman"/>
          <w:sz w:val="24"/>
        </w:rPr>
        <w:t>202</w:t>
      </w:r>
      <w:r w:rsidR="00B05352" w:rsidRPr="008D5E0A">
        <w:rPr>
          <w:rFonts w:ascii="Times New Roman" w:hAnsi="Times New Roman"/>
          <w:sz w:val="24"/>
        </w:rPr>
        <w:t xml:space="preserve"> </w:t>
      </w:r>
      <w:r w:rsidR="00B05352" w:rsidRPr="008D5E0A">
        <w:rPr>
          <w:rFonts w:ascii="Times New Roman" w:hAnsi="Times New Roman"/>
          <w:sz w:val="24"/>
          <w:u w:val="single"/>
        </w:rPr>
        <w:t>«</w:t>
      </w:r>
      <w:r w:rsidR="00B878A0" w:rsidRPr="00B878A0">
        <w:rPr>
          <w:rFonts w:ascii="Times New Roman" w:hAnsi="Times New Roman"/>
          <w:sz w:val="23"/>
          <w:szCs w:val="23"/>
          <w:u w:val="single"/>
        </w:rPr>
        <w:t>Разработка нормативной документации</w:t>
      </w:r>
      <w:r w:rsidR="00B05352" w:rsidRPr="008D5E0A">
        <w:rPr>
          <w:rFonts w:ascii="Times New Roman" w:hAnsi="Times New Roman"/>
          <w:sz w:val="24"/>
          <w:u w:val="single"/>
        </w:rPr>
        <w:t>»</w:t>
      </w:r>
      <w:r w:rsidR="00B05352" w:rsidRPr="008D5E0A">
        <w:t xml:space="preserve"> </w:t>
      </w:r>
      <w:r w:rsidR="0034689A">
        <w:rPr>
          <w:rFonts w:ascii="Times New Roman" w:hAnsi="Times New Roman"/>
          <w:sz w:val="24"/>
        </w:rPr>
        <w:t>(Форма 9</w:t>
      </w:r>
      <w:r w:rsidR="00B05352" w:rsidRPr="003E624E">
        <w:rPr>
          <w:rFonts w:ascii="Times New Roman" w:hAnsi="Times New Roman"/>
          <w:sz w:val="24"/>
        </w:rPr>
        <w:t>).</w:t>
      </w:r>
    </w:p>
    <w:p w:rsidR="005B0A3B" w:rsidRPr="000A6477" w:rsidRDefault="005B0A3B" w:rsidP="00E56069">
      <w:pPr>
        <w:pStyle w:val="ab"/>
        <w:numPr>
          <w:ilvl w:val="0"/>
          <w:numId w:val="9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b/>
          <w:sz w:val="24"/>
        </w:rPr>
      </w:pPr>
      <w:r w:rsidRPr="000A6477">
        <w:rPr>
          <w:rFonts w:ascii="Times New Roman" w:hAnsi="Times New Roman"/>
          <w:b/>
          <w:sz w:val="24"/>
        </w:rPr>
        <w:t xml:space="preserve">Условия выполнения работ: </w:t>
      </w:r>
    </w:p>
    <w:p w:rsidR="005B0A3B" w:rsidRDefault="005B0A3B" w:rsidP="00E56069">
      <w:pPr>
        <w:pStyle w:val="ab"/>
        <w:numPr>
          <w:ilvl w:val="0"/>
          <w:numId w:val="11"/>
        </w:numPr>
        <w:tabs>
          <w:tab w:val="num" w:pos="720"/>
        </w:tabs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3013F" w:rsidRPr="000A6477" w:rsidRDefault="0033013F" w:rsidP="0033013F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1. </w:t>
      </w:r>
      <w:r w:rsidR="00F00D7B">
        <w:rPr>
          <w:rFonts w:ascii="Times New Roman" w:hAnsi="Times New Roman"/>
          <w:sz w:val="24"/>
        </w:rPr>
        <w:t>Положения «О контрольно-пропускных пунктах Открытого акционерного общества «</w:t>
      </w:r>
      <w:proofErr w:type="spellStart"/>
      <w:r w:rsidR="00F00D7B">
        <w:rPr>
          <w:rFonts w:ascii="Times New Roman" w:hAnsi="Times New Roman"/>
          <w:sz w:val="24"/>
        </w:rPr>
        <w:t>Славнефть</w:t>
      </w:r>
      <w:proofErr w:type="spellEnd"/>
      <w:r w:rsidR="00F00D7B">
        <w:rPr>
          <w:rFonts w:ascii="Times New Roman" w:hAnsi="Times New Roman"/>
          <w:sz w:val="24"/>
        </w:rPr>
        <w:t>-Мегионнефтегаз»;</w:t>
      </w:r>
    </w:p>
    <w:p w:rsidR="005B0A3B" w:rsidRDefault="0033013F" w:rsidP="00E5606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2</w:t>
      </w:r>
      <w:r w:rsidR="005B0A3B" w:rsidRPr="000A6477">
        <w:rPr>
          <w:rFonts w:ascii="Times New Roman" w:hAnsi="Times New Roman"/>
          <w:sz w:val="24"/>
        </w:rPr>
        <w:t xml:space="preserve">. </w:t>
      </w:r>
      <w:r w:rsidR="00DA33E8" w:rsidRPr="000A6477">
        <w:rPr>
          <w:rFonts w:ascii="Times New Roman" w:hAnsi="Times New Roman"/>
          <w:sz w:val="24"/>
        </w:rPr>
        <w:t>Стандарта «Общие требования, предъявляемые к подрядным организациям в Открытом акционерном обществе «</w:t>
      </w:r>
      <w:proofErr w:type="spellStart"/>
      <w:r w:rsidR="00DA33E8" w:rsidRPr="000A6477">
        <w:rPr>
          <w:rFonts w:ascii="Times New Roman" w:hAnsi="Times New Roman"/>
          <w:sz w:val="24"/>
        </w:rPr>
        <w:t>Славнефть</w:t>
      </w:r>
      <w:proofErr w:type="spellEnd"/>
      <w:r w:rsidR="00DA33E8" w:rsidRPr="000A6477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безопасности»;</w:t>
      </w:r>
    </w:p>
    <w:p w:rsidR="008D5E0A" w:rsidRPr="00DC073B" w:rsidRDefault="00244B6E" w:rsidP="00DC073B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3. </w:t>
      </w:r>
      <w:r w:rsidR="00B008AF" w:rsidRPr="009D7E16">
        <w:rPr>
          <w:rFonts w:ascii="Times New Roman" w:hAnsi="Times New Roman"/>
          <w:sz w:val="24"/>
        </w:rPr>
        <w:t>Стандарт</w:t>
      </w:r>
      <w:r w:rsidR="00B008AF">
        <w:rPr>
          <w:rFonts w:ascii="Times New Roman" w:hAnsi="Times New Roman"/>
          <w:sz w:val="24"/>
        </w:rPr>
        <w:t>а</w:t>
      </w:r>
      <w:r w:rsidR="00B008AF" w:rsidRPr="009D7E16">
        <w:rPr>
          <w:rFonts w:ascii="Times New Roman" w:hAnsi="Times New Roman"/>
          <w:sz w:val="24"/>
        </w:rPr>
        <w:t xml:space="preserve"> «Транспортная безопасность в </w:t>
      </w:r>
      <w:r w:rsidR="00B008AF">
        <w:rPr>
          <w:rFonts w:ascii="Times New Roman" w:hAnsi="Times New Roman"/>
          <w:sz w:val="24"/>
        </w:rPr>
        <w:t>О</w:t>
      </w:r>
      <w:r w:rsidR="00B008AF" w:rsidRPr="009D7E16">
        <w:rPr>
          <w:rFonts w:ascii="Times New Roman" w:hAnsi="Times New Roman"/>
          <w:sz w:val="24"/>
        </w:rPr>
        <w:t>ткрытом акционерном обществе «</w:t>
      </w:r>
      <w:proofErr w:type="spellStart"/>
      <w:r w:rsidR="00B008AF" w:rsidRPr="009D7E16">
        <w:rPr>
          <w:rFonts w:ascii="Times New Roman" w:hAnsi="Times New Roman"/>
          <w:sz w:val="24"/>
        </w:rPr>
        <w:t>Славнефть</w:t>
      </w:r>
      <w:proofErr w:type="spellEnd"/>
      <w:r w:rsidR="00B008AF" w:rsidRPr="009D7E16">
        <w:rPr>
          <w:rFonts w:ascii="Times New Roman" w:hAnsi="Times New Roman"/>
          <w:sz w:val="24"/>
        </w:rPr>
        <w:t>-Мегионнефтегаз»</w:t>
      </w:r>
      <w:r w:rsidR="00DA0103">
        <w:rPr>
          <w:rFonts w:ascii="Times New Roman" w:hAnsi="Times New Roman"/>
          <w:sz w:val="24"/>
        </w:rPr>
        <w:t>;</w:t>
      </w:r>
    </w:p>
    <w:p w:rsidR="00BE4B15" w:rsidRDefault="00DC073B" w:rsidP="00BE4B15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color w:val="000000"/>
          <w:sz w:val="24"/>
        </w:rPr>
        <w:lastRenderedPageBreak/>
        <w:t>4</w:t>
      </w:r>
      <w:r w:rsidR="00DA33E8" w:rsidRPr="000A6477">
        <w:rPr>
          <w:rFonts w:ascii="Times New Roman" w:hAnsi="Times New Roman"/>
          <w:color w:val="000000"/>
          <w:sz w:val="24"/>
        </w:rPr>
        <w:t xml:space="preserve">. </w:t>
      </w:r>
      <w:r w:rsidR="00BE4B15">
        <w:rPr>
          <w:rFonts w:ascii="Times New Roman" w:hAnsi="Times New Roman"/>
          <w:sz w:val="24"/>
        </w:rPr>
        <w:t>Положени</w:t>
      </w:r>
      <w:r w:rsidR="00B008AF">
        <w:rPr>
          <w:rFonts w:ascii="Times New Roman" w:hAnsi="Times New Roman"/>
          <w:sz w:val="24"/>
        </w:rPr>
        <w:t>я</w:t>
      </w:r>
      <w:r w:rsidR="00BE4B15">
        <w:rPr>
          <w:rFonts w:ascii="Times New Roman" w:hAnsi="Times New Roman"/>
          <w:sz w:val="24"/>
        </w:rPr>
        <w:t xml:space="preserve"> «О допуске подрядных организаций к выполнению работ/ оказанию услуг на производственной территории и объектах в ОАО «СН-МНГ»;</w:t>
      </w:r>
    </w:p>
    <w:p w:rsidR="00B008AF" w:rsidRDefault="005D7773" w:rsidP="000127F9">
      <w:pPr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5</w:t>
      </w:r>
      <w:r w:rsidR="00BE4B15">
        <w:rPr>
          <w:rFonts w:ascii="Times New Roman" w:hAnsi="Times New Roman"/>
          <w:sz w:val="24"/>
        </w:rPr>
        <w:t>. Регламента «Взаимодействия ОАО «СН-МНГ» с Подрядными организациями в процессе привлечения Субподрядных организаций»</w:t>
      </w:r>
      <w:r w:rsidR="00B008AF">
        <w:rPr>
          <w:rFonts w:ascii="Times New Roman" w:hAnsi="Times New Roman"/>
          <w:sz w:val="24"/>
        </w:rPr>
        <w:t>;</w:t>
      </w:r>
    </w:p>
    <w:p w:rsidR="00B008AF" w:rsidRDefault="005D7773" w:rsidP="005D7773">
      <w:p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6</w:t>
      </w:r>
      <w:r w:rsidR="00DA33E8" w:rsidRPr="000A6477">
        <w:rPr>
          <w:rFonts w:ascii="Times New Roman" w:hAnsi="Times New Roman"/>
          <w:sz w:val="24"/>
        </w:rPr>
        <w:t>.</w:t>
      </w:r>
      <w:r w:rsidR="00B008AF">
        <w:rPr>
          <w:rFonts w:ascii="Times New Roman" w:hAnsi="Times New Roman"/>
          <w:sz w:val="24"/>
        </w:rPr>
        <w:t xml:space="preserve"> </w:t>
      </w:r>
      <w:r w:rsidR="00B008AF" w:rsidRPr="009D7E16">
        <w:rPr>
          <w:rFonts w:ascii="Times New Roman" w:hAnsi="Times New Roman"/>
          <w:sz w:val="24"/>
        </w:rPr>
        <w:t>Процедур</w:t>
      </w:r>
      <w:r w:rsidR="00B008AF">
        <w:rPr>
          <w:rFonts w:ascii="Times New Roman" w:hAnsi="Times New Roman"/>
          <w:sz w:val="24"/>
        </w:rPr>
        <w:t>ы</w:t>
      </w:r>
      <w:r w:rsidR="00B008AF" w:rsidRPr="009D7E16">
        <w:rPr>
          <w:rFonts w:ascii="Times New Roman" w:hAnsi="Times New Roman"/>
          <w:sz w:val="24"/>
        </w:rPr>
        <w:t xml:space="preserve"> «Контроль употребления алкоголя, наркотических и токсических веществ»;</w:t>
      </w:r>
    </w:p>
    <w:p w:rsidR="007B61E9" w:rsidRPr="00F97294" w:rsidRDefault="007B61E9" w:rsidP="00170AD3">
      <w:pPr>
        <w:tabs>
          <w:tab w:val="left" w:pos="0"/>
          <w:tab w:val="left" w:pos="540"/>
          <w:tab w:val="left" w:pos="567"/>
        </w:tabs>
        <w:jc w:val="both"/>
        <w:rPr>
          <w:rFonts w:ascii="Times New Roman" w:hAnsi="Times New Roman"/>
          <w:sz w:val="24"/>
        </w:rPr>
      </w:pPr>
      <w:r w:rsidRPr="000A6477">
        <w:rPr>
          <w:rFonts w:ascii="Times New Roman" w:hAnsi="Times New Roman"/>
          <w:sz w:val="24"/>
        </w:rPr>
        <w:t xml:space="preserve">Осуществлять постоянный </w:t>
      </w:r>
      <w:proofErr w:type="gramStart"/>
      <w:r w:rsidRPr="000A6477">
        <w:rPr>
          <w:rFonts w:ascii="Times New Roman" w:hAnsi="Times New Roman"/>
          <w:sz w:val="24"/>
        </w:rPr>
        <w:t>контроль за</w:t>
      </w:r>
      <w:proofErr w:type="gramEnd"/>
      <w:r w:rsidRPr="000A6477">
        <w:rPr>
          <w:rFonts w:ascii="Times New Roman" w:hAnsi="Times New Roman"/>
          <w:sz w:val="24"/>
        </w:rPr>
        <w:t xml:space="preserve"> соблюдением своим персоналом требований Договора и действующего законодательства РФ, с регулярным проведением в этих целях необходимых обучений, инструктажей и проверок</w:t>
      </w:r>
      <w:r w:rsidR="002E6752" w:rsidRPr="000A6477">
        <w:rPr>
          <w:rFonts w:ascii="Times New Roman" w:hAnsi="Times New Roman"/>
          <w:sz w:val="24"/>
        </w:rPr>
        <w:t>.</w:t>
      </w:r>
    </w:p>
    <w:p w:rsidR="00F97294" w:rsidRDefault="00F97294" w:rsidP="00F97294">
      <w:pPr>
        <w:pStyle w:val="ab"/>
        <w:numPr>
          <w:ilvl w:val="0"/>
          <w:numId w:val="17"/>
        </w:numPr>
        <w:autoSpaceDE w:val="0"/>
        <w:autoSpaceDN w:val="0"/>
        <w:adjustRightInd w:val="0"/>
        <w:spacing w:before="0" w:line="276" w:lineRule="auto"/>
        <w:ind w:left="0" w:firstLine="0"/>
        <w:jc w:val="both"/>
        <w:rPr>
          <w:rFonts w:ascii="Times New Roman" w:hAnsi="Times New Roman"/>
          <w:sz w:val="24"/>
        </w:rPr>
      </w:pPr>
      <w:r w:rsidRPr="00F97294">
        <w:rPr>
          <w:rFonts w:ascii="Times New Roman" w:hAnsi="Times New Roman"/>
          <w:sz w:val="24"/>
        </w:rPr>
        <w:t>В случае победы на тендере по данному ПДО обязательное предоставление договоров добровольного страхования от несчастных случаев работников со страховой суммой не менее 400 тыс. руб.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>- смерть в результате несчастного случая;</w:t>
      </w:r>
    </w:p>
    <w:p w:rsidR="00210CED" w:rsidRPr="006D7F8E" w:rsidRDefault="00210CED" w:rsidP="0097372B">
      <w:pPr>
        <w:pStyle w:val="ab"/>
        <w:autoSpaceDN w:val="0"/>
        <w:adjustRightInd w:val="0"/>
        <w:spacing w:line="276" w:lineRule="auto"/>
        <w:rPr>
          <w:rFonts w:ascii="Times New Roman" w:hAnsi="Times New Roman"/>
          <w:sz w:val="24"/>
        </w:rPr>
      </w:pPr>
      <w:r w:rsidRPr="006D7F8E">
        <w:rPr>
          <w:rFonts w:ascii="Times New Roman" w:hAnsi="Times New Roman"/>
          <w:sz w:val="24"/>
        </w:rPr>
        <w:t xml:space="preserve">- постоянная (полная) утрата трудоспособности в результате несчастного случая с установлением </w:t>
      </w:r>
      <w:r w:rsidRPr="006D7F8E">
        <w:rPr>
          <w:rFonts w:ascii="Times New Roman" w:hAnsi="Times New Roman"/>
          <w:sz w:val="24"/>
          <w:lang w:val="en-US"/>
        </w:rPr>
        <w:t>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</w:t>
      </w:r>
      <w:r w:rsidRPr="006D7F8E">
        <w:rPr>
          <w:rFonts w:ascii="Times New Roman" w:hAnsi="Times New Roman"/>
          <w:sz w:val="24"/>
        </w:rPr>
        <w:t xml:space="preserve">, </w:t>
      </w:r>
      <w:r w:rsidRPr="006D7F8E">
        <w:rPr>
          <w:rFonts w:ascii="Times New Roman" w:hAnsi="Times New Roman"/>
          <w:sz w:val="24"/>
          <w:lang w:val="en-US"/>
        </w:rPr>
        <w:t>III</w:t>
      </w:r>
      <w:r>
        <w:rPr>
          <w:rFonts w:ascii="Times New Roman" w:hAnsi="Times New Roman"/>
          <w:sz w:val="24"/>
        </w:rPr>
        <w:t xml:space="preserve"> группы инвалидности.</w:t>
      </w:r>
    </w:p>
    <w:p w:rsidR="00210CED" w:rsidRPr="000A6477" w:rsidRDefault="00210CED" w:rsidP="00210CED">
      <w:pPr>
        <w:pStyle w:val="ab"/>
        <w:autoSpaceDE w:val="0"/>
        <w:autoSpaceDN w:val="0"/>
        <w:adjustRightInd w:val="0"/>
        <w:spacing w:before="0" w:line="276" w:lineRule="auto"/>
        <w:ind w:left="0"/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877B60" w:rsidRDefault="00877B60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561886" w:rsidRDefault="00561886" w:rsidP="00877B60">
      <w:pPr>
        <w:spacing w:before="0"/>
        <w:jc w:val="both"/>
        <w:rPr>
          <w:rFonts w:ascii="Times New Roman" w:hAnsi="Times New Roman"/>
          <w:sz w:val="24"/>
        </w:rPr>
      </w:pPr>
    </w:p>
    <w:p w:rsidR="00561886" w:rsidRPr="000127F9" w:rsidRDefault="00561886" w:rsidP="00877B60">
      <w:pPr>
        <w:spacing w:before="0"/>
        <w:jc w:val="both"/>
        <w:rPr>
          <w:rFonts w:ascii="Times New Roman" w:hAnsi="Times New Roman"/>
          <w:sz w:val="24"/>
        </w:rPr>
      </w:pPr>
      <w:bookmarkStart w:id="0" w:name="_GoBack"/>
      <w:bookmarkEnd w:id="0"/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772C4B" w:rsidRDefault="00772C4B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Default="005D7773" w:rsidP="000127F9">
      <w:pPr>
        <w:jc w:val="both"/>
        <w:rPr>
          <w:rFonts w:ascii="Times New Roman" w:hAnsi="Times New Roman"/>
          <w:sz w:val="24"/>
        </w:rPr>
      </w:pPr>
    </w:p>
    <w:p w:rsidR="005D7773" w:rsidRPr="000127F9" w:rsidRDefault="005D7773" w:rsidP="000127F9">
      <w:pPr>
        <w:jc w:val="both"/>
        <w:rPr>
          <w:rFonts w:ascii="Times New Roman" w:hAnsi="Times New Roman"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Pr="009A35A4" w:rsidRDefault="009A35A4" w:rsidP="00E05954">
      <w:pPr>
        <w:spacing w:before="0"/>
        <w:rPr>
          <w:rFonts w:ascii="Times New Roman" w:hAnsi="Times New Roman"/>
          <w:b/>
          <w:sz w:val="24"/>
        </w:rPr>
      </w:pPr>
    </w:p>
    <w:sectPr w:rsidR="009A35A4" w:rsidRPr="009A35A4" w:rsidSect="002A5103">
      <w:headerReference w:type="default" r:id="rId13"/>
      <w:pgSz w:w="11906" w:h="16838"/>
      <w:pgMar w:top="567" w:right="424" w:bottom="568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C19F8" w:rsidRDefault="007C19F8">
      <w:pPr>
        <w:spacing w:before="0"/>
      </w:pPr>
      <w:r>
        <w:separator/>
      </w:r>
    </w:p>
  </w:endnote>
  <w:endnote w:type="continuationSeparator" w:id="0">
    <w:p w:rsidR="007C19F8" w:rsidRDefault="007C19F8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C19F8" w:rsidRDefault="007C19F8">
      <w:pPr>
        <w:spacing w:before="0"/>
      </w:pPr>
      <w:r>
        <w:separator/>
      </w:r>
    </w:p>
  </w:footnote>
  <w:footnote w:type="continuationSeparator" w:id="0">
    <w:p w:rsidR="007C19F8" w:rsidRDefault="007C19F8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9424B" w:rsidRDefault="007C19F8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953ED3F0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DAD1F11"/>
    <w:multiLevelType w:val="hybridMultilevel"/>
    <w:tmpl w:val="B4F4A806"/>
    <w:lvl w:ilvl="0" w:tplc="04190001">
      <w:start w:val="1"/>
      <w:numFmt w:val="bullet"/>
      <w:lvlText w:val=""/>
      <w:lvlJc w:val="left"/>
      <w:pPr>
        <w:ind w:left="7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7" w:hanging="360"/>
      </w:pPr>
      <w:rPr>
        <w:rFonts w:ascii="Wingdings" w:hAnsi="Wingdings" w:hint="default"/>
      </w:rPr>
    </w:lvl>
  </w:abstractNum>
  <w:abstractNum w:abstractNumId="4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6D91B80"/>
    <w:multiLevelType w:val="hybridMultilevel"/>
    <w:tmpl w:val="85E04FA2"/>
    <w:lvl w:ilvl="0" w:tplc="04190001">
      <w:start w:val="1"/>
      <w:numFmt w:val="bullet"/>
      <w:lvlText w:val=""/>
      <w:lvlJc w:val="left"/>
      <w:pPr>
        <w:ind w:left="12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6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A341A05"/>
    <w:multiLevelType w:val="hybridMultilevel"/>
    <w:tmpl w:val="9018582E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0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4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15">
    <w:nsid w:val="4F426BBF"/>
    <w:multiLevelType w:val="hybridMultilevel"/>
    <w:tmpl w:val="B41417EA"/>
    <w:lvl w:ilvl="0" w:tplc="04190001">
      <w:start w:val="1"/>
      <w:numFmt w:val="bullet"/>
      <w:lvlText w:val=""/>
      <w:lvlJc w:val="left"/>
      <w:pPr>
        <w:ind w:left="57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29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01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73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45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17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89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61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338" w:hanging="360"/>
      </w:pPr>
      <w:rPr>
        <w:rFonts w:ascii="Wingdings" w:hAnsi="Wingdings" w:hint="default"/>
      </w:rPr>
    </w:lvl>
  </w:abstractNum>
  <w:abstractNum w:abstractNumId="16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680009D0"/>
    <w:multiLevelType w:val="hybridMultilevel"/>
    <w:tmpl w:val="65D4F2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9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14"/>
  </w:num>
  <w:num w:numId="2">
    <w:abstractNumId w:val="9"/>
  </w:num>
  <w:num w:numId="3">
    <w:abstractNumId w:val="18"/>
  </w:num>
  <w:num w:numId="4">
    <w:abstractNumId w:val="19"/>
  </w:num>
  <w:num w:numId="5">
    <w:abstractNumId w:val="8"/>
  </w:num>
  <w:num w:numId="6">
    <w:abstractNumId w:val="13"/>
  </w:num>
  <w:num w:numId="7">
    <w:abstractNumId w:val="0"/>
  </w:num>
  <w:num w:numId="8">
    <w:abstractNumId w:val="1"/>
  </w:num>
  <w:num w:numId="9">
    <w:abstractNumId w:val="11"/>
  </w:num>
  <w:num w:numId="10">
    <w:abstractNumId w:val="7"/>
  </w:num>
  <w:num w:numId="11">
    <w:abstractNumId w:val="10"/>
  </w:num>
  <w:num w:numId="12">
    <w:abstractNumId w:val="6"/>
  </w:num>
  <w:num w:numId="13">
    <w:abstractNumId w:val="2"/>
  </w:num>
  <w:num w:numId="14">
    <w:abstractNumId w:val="16"/>
  </w:num>
  <w:num w:numId="15">
    <w:abstractNumId w:val="4"/>
  </w:num>
  <w:num w:numId="16">
    <w:abstractNumId w:val="12"/>
  </w:num>
  <w:num w:numId="17">
    <w:abstractNumId w:val="17"/>
  </w:num>
  <w:num w:numId="18">
    <w:abstractNumId w:val="3"/>
  </w:num>
  <w:num w:numId="19">
    <w:abstractNumId w:val="5"/>
  </w:num>
  <w:num w:numId="20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63D4"/>
    <w:rsid w:val="0001166B"/>
    <w:rsid w:val="000123F7"/>
    <w:rsid w:val="000127F9"/>
    <w:rsid w:val="00027AE8"/>
    <w:rsid w:val="0003174E"/>
    <w:rsid w:val="0004530B"/>
    <w:rsid w:val="00057F45"/>
    <w:rsid w:val="00064B61"/>
    <w:rsid w:val="000744F2"/>
    <w:rsid w:val="000A2E04"/>
    <w:rsid w:val="000A6477"/>
    <w:rsid w:val="000B2601"/>
    <w:rsid w:val="000B439D"/>
    <w:rsid w:val="000B671E"/>
    <w:rsid w:val="000C09D2"/>
    <w:rsid w:val="000C0B43"/>
    <w:rsid w:val="000E19D5"/>
    <w:rsid w:val="000F6EAA"/>
    <w:rsid w:val="0010000F"/>
    <w:rsid w:val="00100181"/>
    <w:rsid w:val="00103857"/>
    <w:rsid w:val="00110472"/>
    <w:rsid w:val="001104B7"/>
    <w:rsid w:val="00114646"/>
    <w:rsid w:val="00123124"/>
    <w:rsid w:val="001313BF"/>
    <w:rsid w:val="00141071"/>
    <w:rsid w:val="0015589A"/>
    <w:rsid w:val="00157EA4"/>
    <w:rsid w:val="00160974"/>
    <w:rsid w:val="00163391"/>
    <w:rsid w:val="00170AD3"/>
    <w:rsid w:val="00185706"/>
    <w:rsid w:val="0018713E"/>
    <w:rsid w:val="001876F4"/>
    <w:rsid w:val="001956FE"/>
    <w:rsid w:val="00195D98"/>
    <w:rsid w:val="001973E9"/>
    <w:rsid w:val="001A2DF9"/>
    <w:rsid w:val="001A3589"/>
    <w:rsid w:val="001A39DE"/>
    <w:rsid w:val="001B6D6E"/>
    <w:rsid w:val="001C6CC4"/>
    <w:rsid w:val="001C7C15"/>
    <w:rsid w:val="001D5FE3"/>
    <w:rsid w:val="001E2A1A"/>
    <w:rsid w:val="001E553B"/>
    <w:rsid w:val="001F4E14"/>
    <w:rsid w:val="00203261"/>
    <w:rsid w:val="00210CED"/>
    <w:rsid w:val="00212BE7"/>
    <w:rsid w:val="002239D8"/>
    <w:rsid w:val="00230F80"/>
    <w:rsid w:val="00231E4E"/>
    <w:rsid w:val="0024364E"/>
    <w:rsid w:val="00244B6E"/>
    <w:rsid w:val="0025060D"/>
    <w:rsid w:val="002616A0"/>
    <w:rsid w:val="00261BB5"/>
    <w:rsid w:val="002633B5"/>
    <w:rsid w:val="002645AA"/>
    <w:rsid w:val="00273268"/>
    <w:rsid w:val="00277969"/>
    <w:rsid w:val="00285B40"/>
    <w:rsid w:val="002A5103"/>
    <w:rsid w:val="002A7305"/>
    <w:rsid w:val="002B09E4"/>
    <w:rsid w:val="002C13DF"/>
    <w:rsid w:val="002C184F"/>
    <w:rsid w:val="002C3E39"/>
    <w:rsid w:val="002D00B5"/>
    <w:rsid w:val="002D7ED0"/>
    <w:rsid w:val="002E6752"/>
    <w:rsid w:val="002F4522"/>
    <w:rsid w:val="00301DC1"/>
    <w:rsid w:val="00303C67"/>
    <w:rsid w:val="0030705E"/>
    <w:rsid w:val="0030775A"/>
    <w:rsid w:val="003230FD"/>
    <w:rsid w:val="0033013F"/>
    <w:rsid w:val="0034168E"/>
    <w:rsid w:val="003454B5"/>
    <w:rsid w:val="0034689A"/>
    <w:rsid w:val="003670AE"/>
    <w:rsid w:val="00370449"/>
    <w:rsid w:val="00371DC8"/>
    <w:rsid w:val="003730DD"/>
    <w:rsid w:val="00380227"/>
    <w:rsid w:val="00380D6E"/>
    <w:rsid w:val="00382A75"/>
    <w:rsid w:val="00393143"/>
    <w:rsid w:val="00395C8E"/>
    <w:rsid w:val="003A27C5"/>
    <w:rsid w:val="003A2B78"/>
    <w:rsid w:val="003A492B"/>
    <w:rsid w:val="003D03ED"/>
    <w:rsid w:val="003D5CCC"/>
    <w:rsid w:val="003E624E"/>
    <w:rsid w:val="003F1714"/>
    <w:rsid w:val="003F2D03"/>
    <w:rsid w:val="00401CC5"/>
    <w:rsid w:val="00403CA5"/>
    <w:rsid w:val="00404678"/>
    <w:rsid w:val="00414738"/>
    <w:rsid w:val="00433159"/>
    <w:rsid w:val="004341CF"/>
    <w:rsid w:val="004350C2"/>
    <w:rsid w:val="00453BF2"/>
    <w:rsid w:val="00475586"/>
    <w:rsid w:val="00487D2E"/>
    <w:rsid w:val="004902A4"/>
    <w:rsid w:val="00495C90"/>
    <w:rsid w:val="00497F42"/>
    <w:rsid w:val="004A0590"/>
    <w:rsid w:val="004B755A"/>
    <w:rsid w:val="004C3A82"/>
    <w:rsid w:val="004C69C9"/>
    <w:rsid w:val="004D21C9"/>
    <w:rsid w:val="004D2EFE"/>
    <w:rsid w:val="004D3CB6"/>
    <w:rsid w:val="004D4A54"/>
    <w:rsid w:val="004D66A3"/>
    <w:rsid w:val="004D761F"/>
    <w:rsid w:val="004E5AD6"/>
    <w:rsid w:val="004F0652"/>
    <w:rsid w:val="004F3804"/>
    <w:rsid w:val="004F4E44"/>
    <w:rsid w:val="004F546F"/>
    <w:rsid w:val="004F6B25"/>
    <w:rsid w:val="00514369"/>
    <w:rsid w:val="0051640B"/>
    <w:rsid w:val="005278AB"/>
    <w:rsid w:val="0054623A"/>
    <w:rsid w:val="00546FD8"/>
    <w:rsid w:val="005548C2"/>
    <w:rsid w:val="0055651B"/>
    <w:rsid w:val="00557C26"/>
    <w:rsid w:val="00561886"/>
    <w:rsid w:val="00565F5B"/>
    <w:rsid w:val="00586FBB"/>
    <w:rsid w:val="00586FE4"/>
    <w:rsid w:val="005877E1"/>
    <w:rsid w:val="00591406"/>
    <w:rsid w:val="00597349"/>
    <w:rsid w:val="005A45A5"/>
    <w:rsid w:val="005B0A3B"/>
    <w:rsid w:val="005C12F9"/>
    <w:rsid w:val="005C2984"/>
    <w:rsid w:val="005C4F98"/>
    <w:rsid w:val="005D48F3"/>
    <w:rsid w:val="005D5FE0"/>
    <w:rsid w:val="005D7773"/>
    <w:rsid w:val="005F2828"/>
    <w:rsid w:val="005F69BD"/>
    <w:rsid w:val="005F7876"/>
    <w:rsid w:val="00611087"/>
    <w:rsid w:val="006150ED"/>
    <w:rsid w:val="006154C8"/>
    <w:rsid w:val="00625817"/>
    <w:rsid w:val="00634093"/>
    <w:rsid w:val="00637924"/>
    <w:rsid w:val="0064289F"/>
    <w:rsid w:val="00643A99"/>
    <w:rsid w:val="006575C1"/>
    <w:rsid w:val="00692B1B"/>
    <w:rsid w:val="006A22A4"/>
    <w:rsid w:val="006B0867"/>
    <w:rsid w:val="006F47E3"/>
    <w:rsid w:val="007049F9"/>
    <w:rsid w:val="0071398F"/>
    <w:rsid w:val="007144D1"/>
    <w:rsid w:val="0071550D"/>
    <w:rsid w:val="00723883"/>
    <w:rsid w:val="00731390"/>
    <w:rsid w:val="00736D94"/>
    <w:rsid w:val="00751C1C"/>
    <w:rsid w:val="00754F58"/>
    <w:rsid w:val="00764C0E"/>
    <w:rsid w:val="007706BA"/>
    <w:rsid w:val="00772C4B"/>
    <w:rsid w:val="007860CD"/>
    <w:rsid w:val="00797E75"/>
    <w:rsid w:val="007A135E"/>
    <w:rsid w:val="007A5ECD"/>
    <w:rsid w:val="007B1A84"/>
    <w:rsid w:val="007B61E9"/>
    <w:rsid w:val="007B7AAC"/>
    <w:rsid w:val="007C19F8"/>
    <w:rsid w:val="007C262C"/>
    <w:rsid w:val="007C69D8"/>
    <w:rsid w:val="007D1432"/>
    <w:rsid w:val="007D3874"/>
    <w:rsid w:val="007D455B"/>
    <w:rsid w:val="007E0156"/>
    <w:rsid w:val="007E24D8"/>
    <w:rsid w:val="007E3A1D"/>
    <w:rsid w:val="007E4C24"/>
    <w:rsid w:val="007F200D"/>
    <w:rsid w:val="007F3DBE"/>
    <w:rsid w:val="007F6427"/>
    <w:rsid w:val="007F74A6"/>
    <w:rsid w:val="00807409"/>
    <w:rsid w:val="008161FA"/>
    <w:rsid w:val="00817444"/>
    <w:rsid w:val="00822BA0"/>
    <w:rsid w:val="00822ECE"/>
    <w:rsid w:val="0082433D"/>
    <w:rsid w:val="00826247"/>
    <w:rsid w:val="008318C3"/>
    <w:rsid w:val="0083369E"/>
    <w:rsid w:val="00837416"/>
    <w:rsid w:val="008452FA"/>
    <w:rsid w:val="00845954"/>
    <w:rsid w:val="00845AEF"/>
    <w:rsid w:val="00850707"/>
    <w:rsid w:val="008671C1"/>
    <w:rsid w:val="00871AE9"/>
    <w:rsid w:val="00875B06"/>
    <w:rsid w:val="00877B60"/>
    <w:rsid w:val="00890111"/>
    <w:rsid w:val="008921BD"/>
    <w:rsid w:val="00895A8F"/>
    <w:rsid w:val="008B5511"/>
    <w:rsid w:val="008D4F06"/>
    <w:rsid w:val="008D5E0A"/>
    <w:rsid w:val="008D6F5A"/>
    <w:rsid w:val="008D71B1"/>
    <w:rsid w:val="008E3006"/>
    <w:rsid w:val="008E36C4"/>
    <w:rsid w:val="008E412C"/>
    <w:rsid w:val="008F2B4A"/>
    <w:rsid w:val="008F2E0E"/>
    <w:rsid w:val="008F3BFC"/>
    <w:rsid w:val="00902DA1"/>
    <w:rsid w:val="009141D7"/>
    <w:rsid w:val="0092380D"/>
    <w:rsid w:val="00924BE5"/>
    <w:rsid w:val="009258E2"/>
    <w:rsid w:val="00937663"/>
    <w:rsid w:val="00942AC3"/>
    <w:rsid w:val="0096095C"/>
    <w:rsid w:val="00963D7F"/>
    <w:rsid w:val="0097372B"/>
    <w:rsid w:val="00981FD5"/>
    <w:rsid w:val="009821F1"/>
    <w:rsid w:val="00996D20"/>
    <w:rsid w:val="009A35A4"/>
    <w:rsid w:val="009A6995"/>
    <w:rsid w:val="009A6F0F"/>
    <w:rsid w:val="009B2139"/>
    <w:rsid w:val="009B6AD8"/>
    <w:rsid w:val="009C7108"/>
    <w:rsid w:val="009C792D"/>
    <w:rsid w:val="009D0283"/>
    <w:rsid w:val="009E2AD6"/>
    <w:rsid w:val="00A02374"/>
    <w:rsid w:val="00A06417"/>
    <w:rsid w:val="00A0658C"/>
    <w:rsid w:val="00A16425"/>
    <w:rsid w:val="00A22D02"/>
    <w:rsid w:val="00A43B77"/>
    <w:rsid w:val="00A44017"/>
    <w:rsid w:val="00A550A9"/>
    <w:rsid w:val="00A56A43"/>
    <w:rsid w:val="00A607D0"/>
    <w:rsid w:val="00A62A92"/>
    <w:rsid w:val="00A638EC"/>
    <w:rsid w:val="00A64528"/>
    <w:rsid w:val="00A64703"/>
    <w:rsid w:val="00A73158"/>
    <w:rsid w:val="00A75456"/>
    <w:rsid w:val="00A819C2"/>
    <w:rsid w:val="00A82139"/>
    <w:rsid w:val="00A82563"/>
    <w:rsid w:val="00A8307D"/>
    <w:rsid w:val="00A8439F"/>
    <w:rsid w:val="00AA0E4F"/>
    <w:rsid w:val="00AA5A52"/>
    <w:rsid w:val="00AB12F9"/>
    <w:rsid w:val="00AB163B"/>
    <w:rsid w:val="00AB4CE5"/>
    <w:rsid w:val="00AC0322"/>
    <w:rsid w:val="00AC0C01"/>
    <w:rsid w:val="00AC1996"/>
    <w:rsid w:val="00AC3E82"/>
    <w:rsid w:val="00AD5261"/>
    <w:rsid w:val="00AD6FC0"/>
    <w:rsid w:val="00B008AF"/>
    <w:rsid w:val="00B05352"/>
    <w:rsid w:val="00B06690"/>
    <w:rsid w:val="00B10BB2"/>
    <w:rsid w:val="00B1596B"/>
    <w:rsid w:val="00B21C57"/>
    <w:rsid w:val="00B370E9"/>
    <w:rsid w:val="00B419EF"/>
    <w:rsid w:val="00B60B9D"/>
    <w:rsid w:val="00B64CBC"/>
    <w:rsid w:val="00B76C7A"/>
    <w:rsid w:val="00B77356"/>
    <w:rsid w:val="00B80638"/>
    <w:rsid w:val="00B81D13"/>
    <w:rsid w:val="00B86E53"/>
    <w:rsid w:val="00B878A0"/>
    <w:rsid w:val="00B95A66"/>
    <w:rsid w:val="00BA7142"/>
    <w:rsid w:val="00BA77CE"/>
    <w:rsid w:val="00BC44E4"/>
    <w:rsid w:val="00BC5707"/>
    <w:rsid w:val="00BD40B8"/>
    <w:rsid w:val="00BD5B3B"/>
    <w:rsid w:val="00BE4B15"/>
    <w:rsid w:val="00BE6C37"/>
    <w:rsid w:val="00BF0FEC"/>
    <w:rsid w:val="00C064D2"/>
    <w:rsid w:val="00C10757"/>
    <w:rsid w:val="00C10BEF"/>
    <w:rsid w:val="00C20007"/>
    <w:rsid w:val="00C3199D"/>
    <w:rsid w:val="00C35524"/>
    <w:rsid w:val="00C43822"/>
    <w:rsid w:val="00C44CFF"/>
    <w:rsid w:val="00C54AA9"/>
    <w:rsid w:val="00C55B89"/>
    <w:rsid w:val="00C60AAC"/>
    <w:rsid w:val="00C624E9"/>
    <w:rsid w:val="00C6525F"/>
    <w:rsid w:val="00C80C11"/>
    <w:rsid w:val="00C84BD9"/>
    <w:rsid w:val="00C86941"/>
    <w:rsid w:val="00C95BFA"/>
    <w:rsid w:val="00CA057C"/>
    <w:rsid w:val="00CA10C5"/>
    <w:rsid w:val="00CB3678"/>
    <w:rsid w:val="00CB4D46"/>
    <w:rsid w:val="00CD62A3"/>
    <w:rsid w:val="00CE0D94"/>
    <w:rsid w:val="00CE14C3"/>
    <w:rsid w:val="00CE38F5"/>
    <w:rsid w:val="00D058E5"/>
    <w:rsid w:val="00D06108"/>
    <w:rsid w:val="00D0739F"/>
    <w:rsid w:val="00D14979"/>
    <w:rsid w:val="00D15D06"/>
    <w:rsid w:val="00D2338C"/>
    <w:rsid w:val="00D26805"/>
    <w:rsid w:val="00D309D6"/>
    <w:rsid w:val="00D37198"/>
    <w:rsid w:val="00D44A1B"/>
    <w:rsid w:val="00D47329"/>
    <w:rsid w:val="00D55663"/>
    <w:rsid w:val="00D55AFF"/>
    <w:rsid w:val="00D57732"/>
    <w:rsid w:val="00D85647"/>
    <w:rsid w:val="00D92DED"/>
    <w:rsid w:val="00D95F9E"/>
    <w:rsid w:val="00DA0103"/>
    <w:rsid w:val="00DA07D4"/>
    <w:rsid w:val="00DA33E8"/>
    <w:rsid w:val="00DA554C"/>
    <w:rsid w:val="00DC073B"/>
    <w:rsid w:val="00DC3C1A"/>
    <w:rsid w:val="00DC4115"/>
    <w:rsid w:val="00DC6707"/>
    <w:rsid w:val="00DD39AD"/>
    <w:rsid w:val="00DE55A5"/>
    <w:rsid w:val="00E00314"/>
    <w:rsid w:val="00E05954"/>
    <w:rsid w:val="00E17768"/>
    <w:rsid w:val="00E3118B"/>
    <w:rsid w:val="00E4090D"/>
    <w:rsid w:val="00E41B96"/>
    <w:rsid w:val="00E46A87"/>
    <w:rsid w:val="00E56069"/>
    <w:rsid w:val="00E63543"/>
    <w:rsid w:val="00E71EBE"/>
    <w:rsid w:val="00E771EA"/>
    <w:rsid w:val="00E95144"/>
    <w:rsid w:val="00E96D84"/>
    <w:rsid w:val="00E972FF"/>
    <w:rsid w:val="00EA0059"/>
    <w:rsid w:val="00EA211E"/>
    <w:rsid w:val="00EA2C02"/>
    <w:rsid w:val="00EA7411"/>
    <w:rsid w:val="00EB30F3"/>
    <w:rsid w:val="00EB4248"/>
    <w:rsid w:val="00ED3854"/>
    <w:rsid w:val="00EE1690"/>
    <w:rsid w:val="00EF7057"/>
    <w:rsid w:val="00F00D7B"/>
    <w:rsid w:val="00F024FC"/>
    <w:rsid w:val="00F0465D"/>
    <w:rsid w:val="00F24DB3"/>
    <w:rsid w:val="00F24F77"/>
    <w:rsid w:val="00F3476B"/>
    <w:rsid w:val="00F36C8E"/>
    <w:rsid w:val="00F41993"/>
    <w:rsid w:val="00F52E67"/>
    <w:rsid w:val="00F5518B"/>
    <w:rsid w:val="00F80019"/>
    <w:rsid w:val="00F82BE9"/>
    <w:rsid w:val="00F96C0B"/>
    <w:rsid w:val="00F97294"/>
    <w:rsid w:val="00FA01FC"/>
    <w:rsid w:val="00FA096D"/>
    <w:rsid w:val="00FA4751"/>
    <w:rsid w:val="00FB3B93"/>
    <w:rsid w:val="00FB4C3C"/>
    <w:rsid w:val="00FC687E"/>
    <w:rsid w:val="00FD1D2E"/>
    <w:rsid w:val="00FD4AF5"/>
    <w:rsid w:val="00FE5B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203261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footer"/>
    <w:basedOn w:val="a0"/>
    <w:link w:val="af2"/>
    <w:uiPriority w:val="99"/>
    <w:unhideWhenUsed/>
    <w:rsid w:val="00736D94"/>
    <w:pPr>
      <w:tabs>
        <w:tab w:val="center" w:pos="4677"/>
        <w:tab w:val="right" w:pos="9355"/>
      </w:tabs>
      <w:spacing w:before="0"/>
    </w:pPr>
  </w:style>
  <w:style w:type="character" w:customStyle="1" w:styleId="af2">
    <w:name w:val="Нижний колонтитул Знак"/>
    <w:basedOn w:val="a1"/>
    <w:link w:val="af1"/>
    <w:uiPriority w:val="99"/>
    <w:rsid w:val="00736D94"/>
    <w:rPr>
      <w:rFonts w:ascii="Arial" w:eastAsia="Times New Roman" w:hAnsi="Arial" w:cs="Times New Roman"/>
      <w:szCs w:val="24"/>
      <w:lang w:eastAsia="ru-RU"/>
    </w:rPr>
  </w:style>
  <w:style w:type="paragraph" w:styleId="af3">
    <w:name w:val="Title"/>
    <w:basedOn w:val="a0"/>
    <w:link w:val="af4"/>
    <w:qFormat/>
    <w:rsid w:val="004D66A3"/>
    <w:pPr>
      <w:jc w:val="center"/>
    </w:pPr>
    <w:rPr>
      <w:b/>
      <w:bCs/>
      <w:sz w:val="28"/>
    </w:rPr>
  </w:style>
  <w:style w:type="character" w:customStyle="1" w:styleId="af4">
    <w:name w:val="Название Знак"/>
    <w:basedOn w:val="a1"/>
    <w:link w:val="af3"/>
    <w:rsid w:val="004D66A3"/>
    <w:rPr>
      <w:rFonts w:ascii="Arial" w:eastAsia="Times New Roman" w:hAnsi="Arial" w:cs="Times New Roman"/>
      <w:b/>
      <w:bCs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http://www.sn-mng.ru/supplier/tenders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Tender@mng.slavneft.ru" TargetMode="Externa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hyperlink" Target="mailto:IrgalinaRG@mng.slavneft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hailovAV@mng.slavneft.ru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88A387-4390-42A7-B135-EFE0C0FA6FA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2486</TotalTime>
  <Pages>8</Pages>
  <Words>2562</Words>
  <Characters>14610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Евгений Юрьевич Макаринский</dc:creator>
  <cp:lastModifiedBy>Елена Викторовна Акимова</cp:lastModifiedBy>
  <cp:revision>315</cp:revision>
  <cp:lastPrinted>2014-10-02T11:42:00Z</cp:lastPrinted>
  <dcterms:created xsi:type="dcterms:W3CDTF">2014-08-04T11:36:00Z</dcterms:created>
  <dcterms:modified xsi:type="dcterms:W3CDTF">2014-10-15T10:00:00Z</dcterms:modified>
</cp:coreProperties>
</file>