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D1436F">
            <w:pPr>
              <w:jc w:val="both"/>
            </w:pPr>
            <w:r w:rsidRPr="000127F9">
              <w:t>Протокол  № ___</w:t>
            </w:r>
            <w:r w:rsidR="00D1436F">
              <w:rPr>
                <w:u w:val="single"/>
                <w:lang w:val="en-US"/>
              </w:rPr>
              <w:t>377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D1436F">
            <w:pPr>
              <w:jc w:val="both"/>
            </w:pPr>
            <w:r w:rsidRPr="000127F9">
              <w:t>«_</w:t>
            </w:r>
            <w:r w:rsidR="00D1436F">
              <w:rPr>
                <w:u w:val="single"/>
                <w:lang w:val="en-US"/>
              </w:rPr>
              <w:t>13</w:t>
            </w:r>
            <w:r w:rsidRPr="000127F9">
              <w:t>_» _</w:t>
            </w:r>
            <w:r w:rsidR="00D1436F">
              <w:rPr>
                <w:u w:val="single"/>
              </w:rPr>
              <w:t>ноября</w:t>
            </w:r>
            <w:r w:rsidRPr="000127F9">
              <w:t>_  _</w:t>
            </w:r>
            <w:r w:rsidR="00D1436F">
              <w:rPr>
                <w:u w:val="single"/>
              </w:rPr>
              <w:t>2014</w:t>
            </w:r>
            <w:r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D822A8">
        <w:rPr>
          <w:b/>
        </w:rPr>
        <w:t>823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D1436F">
        <w:rPr>
          <w:b/>
        </w:rPr>
        <w:t>«13</w:t>
      </w:r>
      <w:r w:rsidR="00D67B56">
        <w:rPr>
          <w:b/>
        </w:rPr>
        <w:t>»</w:t>
      </w:r>
      <w:r w:rsidR="00D1436F">
        <w:rPr>
          <w:b/>
        </w:rPr>
        <w:t xml:space="preserve"> </w:t>
      </w:r>
      <w:r w:rsidR="00D1436F">
        <w:rPr>
          <w:b/>
          <w:u w:val="single"/>
        </w:rPr>
        <w:t>ноября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выполне</w:t>
      </w:r>
      <w:r w:rsidR="00527387" w:rsidRPr="005A0C17">
        <w:t>ние рабо</w:t>
      </w:r>
      <w:r w:rsidR="00B836A5" w:rsidRPr="005A0C17">
        <w:t xml:space="preserve">т по </w:t>
      </w:r>
      <w:r w:rsidR="00411ECE" w:rsidRPr="005A0C17">
        <w:rPr>
          <w:b/>
        </w:rPr>
        <w:t xml:space="preserve">типу сделки </w:t>
      </w:r>
      <w:r w:rsidR="00AD6DBA">
        <w:rPr>
          <w:b/>
        </w:rPr>
        <w:t>4</w:t>
      </w:r>
      <w:r w:rsidR="00FB3D6A">
        <w:rPr>
          <w:b/>
        </w:rPr>
        <w:t>14</w:t>
      </w:r>
      <w:r w:rsidR="00EA4884">
        <w:rPr>
          <w:b/>
        </w:rPr>
        <w:t xml:space="preserve"> </w:t>
      </w:r>
      <w:r w:rsidR="00D13FB4" w:rsidRPr="005A0C17">
        <w:rPr>
          <w:b/>
        </w:rPr>
        <w:t>«</w:t>
      </w:r>
      <w:r w:rsidR="00FB3D6A" w:rsidRPr="00FB3D6A">
        <w:rPr>
          <w:b/>
        </w:rPr>
        <w:t>Гидродинамические исследования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(ов), с которым (ыми)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FB3D6A">
        <w:t>.1- 4.</w:t>
      </w:r>
      <w:r w:rsidR="00D822A8">
        <w:t>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1A0905" w:rsidRDefault="001A0905" w:rsidP="006777A4">
      <w:pPr>
        <w:ind w:firstLine="284"/>
        <w:jc w:val="both"/>
        <w:rPr>
          <w:b/>
        </w:rPr>
      </w:pPr>
      <w:r>
        <w:t xml:space="preserve">       </w:t>
      </w: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6777A4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6777A4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r>
        <w:t xml:space="preserve">из </w:t>
      </w:r>
      <w:r w:rsidRPr="000127F9">
        <w:t>указанных в  техническом задании.</w:t>
      </w:r>
    </w:p>
    <w:p w:rsidR="00010018" w:rsidRPr="005A0C17" w:rsidRDefault="00010018" w:rsidP="006777A4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31.</w:t>
      </w:r>
      <w:r w:rsidR="00D822A8">
        <w:t>03</w:t>
      </w:r>
      <w:r w:rsidR="0071567C" w:rsidRPr="005A0C17">
        <w:t>.201</w:t>
      </w:r>
      <w:r w:rsidR="00D822A8">
        <w:t>5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FB3D6A">
        <w:t>е</w:t>
      </w:r>
      <w:r w:rsidRPr="00D67B56">
        <w:t>, подписанны</w:t>
      </w:r>
      <w:r w:rsidR="00FB3D6A">
        <w:t>е</w:t>
      </w:r>
      <w:r w:rsidRPr="00D67B56">
        <w:t xml:space="preserve"> </w:t>
      </w:r>
      <w:r>
        <w:t>лот</w:t>
      </w:r>
      <w:r w:rsidR="00FB3D6A">
        <w:t>ы</w:t>
      </w:r>
      <w:r>
        <w:t xml:space="preserve"> </w:t>
      </w:r>
      <w:r w:rsidR="00FB3D6A">
        <w:t>№</w:t>
      </w:r>
      <w:r>
        <w:t>№</w:t>
      </w:r>
      <w:r w:rsidR="00FB3D6A">
        <w:t>1-</w:t>
      </w:r>
      <w:r w:rsidR="00D822A8">
        <w:t>4</w:t>
      </w:r>
      <w:r w:rsidRPr="00D67B56">
        <w:t xml:space="preserve"> </w:t>
      </w:r>
      <w:r w:rsidRPr="00D67B56">
        <w:rPr>
          <w:szCs w:val="16"/>
        </w:rPr>
        <w:t xml:space="preserve">(Форма </w:t>
      </w:r>
      <w:r>
        <w:rPr>
          <w:szCs w:val="16"/>
        </w:rPr>
        <w:t>4</w:t>
      </w:r>
      <w:r w:rsidR="00FB3D6A">
        <w:rPr>
          <w:szCs w:val="16"/>
        </w:rPr>
        <w:t>.1-4.</w:t>
      </w:r>
      <w:r w:rsidR="00D822A8">
        <w:rPr>
          <w:szCs w:val="16"/>
        </w:rPr>
        <w:t>4</w:t>
      </w:r>
      <w:r w:rsidRPr="00D67B56">
        <w:rPr>
          <w:szCs w:val="16"/>
        </w:rPr>
        <w:t>)</w:t>
      </w:r>
      <w:r w:rsidR="00FB3D6A">
        <w:rPr>
          <w:szCs w:val="16"/>
        </w:rPr>
        <w:t xml:space="preserve"> с приложениями</w:t>
      </w:r>
      <w:r w:rsidRPr="00D67B56">
        <w:rPr>
          <w:szCs w:val="16"/>
        </w:rPr>
        <w:t>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lastRenderedPageBreak/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FB3D6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B0C52">
        <w:t>заполненную, подписанную  Каль</w:t>
      </w:r>
      <w:r>
        <w:t xml:space="preserve">куляцию, </w:t>
      </w:r>
      <w:r w:rsidRPr="00D67B56">
        <w:rPr>
          <w:lang w:val="en-US"/>
        </w:rPr>
        <w:t>c</w:t>
      </w:r>
      <w:r w:rsidRPr="00BB0C52">
        <w:t xml:space="preserve"> расшифровкой по стоимости затрат</w:t>
      </w:r>
      <w:r>
        <w:t xml:space="preserve"> </w:t>
      </w:r>
      <w:r>
        <w:rPr>
          <w:szCs w:val="16"/>
        </w:rPr>
        <w:t>(Форма 8</w:t>
      </w:r>
      <w:r w:rsidRPr="000B2ACB">
        <w:rPr>
          <w:szCs w:val="16"/>
        </w:rPr>
        <w:t>)</w:t>
      </w:r>
      <w:r>
        <w:rPr>
          <w:szCs w:val="16"/>
        </w:rPr>
        <w:t>;</w:t>
      </w:r>
    </w:p>
    <w:p w:rsidR="00D302C2" w:rsidRPr="00556572" w:rsidRDefault="00D302C2" w:rsidP="00FB3D6A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«Критериям </w:t>
      </w:r>
      <w:r w:rsidR="001E1AE7">
        <w:t xml:space="preserve">технической </w:t>
      </w:r>
      <w:r>
        <w:t xml:space="preserve">оценки </w:t>
      </w:r>
      <w:r w:rsidR="00D67B56">
        <w:t>оферт участников закупки</w:t>
      </w:r>
      <w:r>
        <w:t xml:space="preserve"> </w:t>
      </w:r>
      <w:r w:rsidR="00FB3D6A" w:rsidRPr="00FB3D6A">
        <w:t>на проведение гидродинамических исследований скважин на месторождениях ОАО "Славнефть-Мегионнефтегаз"</w:t>
      </w:r>
      <w:r w:rsidR="00FB3D6A">
        <w:t xml:space="preserve"> </w:t>
      </w:r>
      <w:r w:rsidR="00FB3D6A" w:rsidRPr="00FB3D6A">
        <w:t>по типу сделки № 414 "Гидродинамические исследования"</w:t>
      </w:r>
      <w:r w:rsidR="00AD6DBA" w:rsidRPr="00AD6DBA">
        <w:t xml:space="preserve"> </w:t>
      </w:r>
      <w:r w:rsidR="00ED5419" w:rsidRPr="00FB3D6A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556572" w:rsidRPr="00D67B56" w:rsidRDefault="00556572" w:rsidP="00556572">
      <w:pPr>
        <w:jc w:val="both"/>
      </w:pPr>
    </w:p>
    <w:p w:rsidR="00AD6DBA" w:rsidRPr="00AD6DBA" w:rsidRDefault="00AD6DBA" w:rsidP="00AD6DBA">
      <w:pPr>
        <w:ind w:firstLine="720"/>
        <w:jc w:val="both"/>
      </w:pPr>
      <w:r w:rsidRPr="00AD6DBA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AD6DBA" w:rsidRPr="00AD6DBA" w:rsidRDefault="00AD6DBA" w:rsidP="00AD6DBA">
      <w:pPr>
        <w:ind w:firstLine="720"/>
        <w:jc w:val="both"/>
      </w:pPr>
      <w:r w:rsidRPr="00AD6DBA"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D1436F">
        <w:rPr>
          <w:b/>
        </w:rPr>
        <w:t>13</w:t>
      </w:r>
      <w:r w:rsidRPr="009C58FF">
        <w:rPr>
          <w:b/>
        </w:rPr>
        <w:t xml:space="preserve">» </w:t>
      </w:r>
      <w:r w:rsidR="00D1436F">
        <w:rPr>
          <w:b/>
        </w:rPr>
        <w:t>ноября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МСК  «</w:t>
      </w:r>
      <w:r w:rsidR="00D1436F">
        <w:rPr>
          <w:b/>
        </w:rPr>
        <w:t>26</w:t>
      </w:r>
      <w:r w:rsidRPr="009C58FF">
        <w:rPr>
          <w:b/>
        </w:rPr>
        <w:t xml:space="preserve">» </w:t>
      </w:r>
      <w:r w:rsidR="00D1436F">
        <w:rPr>
          <w:b/>
        </w:rPr>
        <w:t>ноября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Срок для определения оферты для акцепта – до «31» </w:t>
      </w:r>
      <w:r w:rsidR="00D822A8">
        <w:rPr>
          <w:b/>
        </w:rPr>
        <w:t>марта</w:t>
      </w:r>
      <w:r w:rsidRPr="009C58FF">
        <w:rPr>
          <w:b/>
        </w:rPr>
        <w:t xml:space="preserve"> 201</w:t>
      </w:r>
      <w:r w:rsidR="00D822A8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D822A8">
        <w:rPr>
          <w:b/>
        </w:rPr>
        <w:t>823</w:t>
      </w:r>
      <w:r w:rsidR="00B5448B" w:rsidRPr="000509F7">
        <w:rPr>
          <w:b/>
        </w:rPr>
        <w:t xml:space="preserve">/ТК/2014 </w:t>
      </w:r>
      <w:r w:rsidR="00D1436F">
        <w:rPr>
          <w:b/>
        </w:rPr>
        <w:t>от «13</w:t>
      </w:r>
      <w:r w:rsidR="00D67B56" w:rsidRPr="00D67B56">
        <w:rPr>
          <w:b/>
        </w:rPr>
        <w:t>»</w:t>
      </w:r>
      <w:r w:rsidR="00D1436F">
        <w:rPr>
          <w:b/>
        </w:rPr>
        <w:t xml:space="preserve"> ноября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находится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Default="0057045A" w:rsidP="00533F74">
      <w:pPr>
        <w:spacing w:line="276" w:lineRule="auto"/>
        <w:ind w:firstLine="708"/>
        <w:jc w:val="both"/>
        <w:rPr>
          <w:b/>
        </w:rPr>
      </w:pPr>
      <w:r w:rsidRPr="0057045A">
        <w:rPr>
          <w:b/>
        </w:rPr>
        <w:t>первый</w:t>
      </w:r>
      <w:r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 w:rsidR="00A440BA">
        <w:t>ов или надлежащим образом</w:t>
      </w:r>
      <w:r w:rsidR="008679B5">
        <w:t xml:space="preserve"> заверенные копии,</w:t>
      </w:r>
      <w:r>
        <w:t xml:space="preserve"> </w:t>
      </w:r>
      <w:r w:rsidRPr="0057045A">
        <w:t xml:space="preserve">подтверждающие соответствие подрядной организации </w:t>
      </w:r>
      <w:r w:rsidR="00FB3D6A">
        <w:t xml:space="preserve">«Критериям технической оценки оферт участников закупки </w:t>
      </w:r>
      <w:r w:rsidR="00FB3D6A" w:rsidRPr="00FB3D6A">
        <w:t>на проведение гидродинамических исследований скважин на месторождениях ОАО "Славнефть-Мегионнефтегаз"</w:t>
      </w:r>
      <w:r w:rsidR="00FB3D6A">
        <w:t xml:space="preserve"> </w:t>
      </w:r>
      <w:r w:rsidR="00FB3D6A" w:rsidRPr="00FB3D6A">
        <w:t>по типу сделки № 414 "Гидродинамические исследования"</w:t>
      </w:r>
      <w:r w:rsidR="00FB3D6A" w:rsidRPr="00AD6DBA">
        <w:t xml:space="preserve"> </w:t>
      </w:r>
      <w:r w:rsidR="00FB3D6A" w:rsidRPr="00FB3D6A">
        <w:rPr>
          <w:iCs/>
          <w:szCs w:val="16"/>
        </w:rPr>
        <w:t>(Форма 9)</w:t>
      </w:r>
      <w:r w:rsidR="00FB3D6A" w:rsidRPr="00D67B56">
        <w:t xml:space="preserve"> </w:t>
      </w:r>
      <w:r w:rsidR="00FB3D6A">
        <w:t xml:space="preserve">с </w:t>
      </w:r>
      <w:r w:rsidR="00FB3D6A">
        <w:lastRenderedPageBreak/>
        <w:t xml:space="preserve">заполненной и подписанной анкетой соответствия критериям технической оценки оферт участников закупки (Приложение 1 к Форме 9) </w:t>
      </w:r>
      <w:r w:rsidRPr="0057045A">
        <w:t>(без указания сумм, цен и т.п);</w:t>
      </w:r>
      <w:r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на  </w:t>
      </w:r>
      <w:r w:rsidR="00A440BA">
        <w:t>электронно</w:t>
      </w:r>
      <w:r w:rsidR="006F14C5">
        <w:t>м</w:t>
      </w:r>
      <w:r w:rsidR="00A440BA">
        <w:t xml:space="preserve"> носител</w:t>
      </w:r>
      <w:r w:rsidR="006F14C5"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FB3D6A">
        <w:t>е</w:t>
      </w:r>
      <w:r w:rsidR="00F43122" w:rsidRPr="00D302C2">
        <w:t>, подписанны</w:t>
      </w:r>
      <w:r w:rsidR="00FB3D6A">
        <w:t>е</w:t>
      </w:r>
      <w:r w:rsidR="00F43122" w:rsidRPr="00D302C2">
        <w:t xml:space="preserve"> </w:t>
      </w:r>
      <w:r w:rsidR="00F43122" w:rsidRPr="006936BF">
        <w:t>лот</w:t>
      </w:r>
      <w:r w:rsidR="00FB3D6A">
        <w:t>ы</w:t>
      </w:r>
      <w:r w:rsidR="00F43122">
        <w:t xml:space="preserve"> №</w:t>
      </w:r>
      <w:r w:rsidR="00FB3D6A">
        <w:t>№</w:t>
      </w:r>
      <w:r w:rsidR="00F43122">
        <w:t xml:space="preserve"> </w:t>
      </w:r>
      <w:r w:rsidR="00FB3D6A">
        <w:t>1-</w:t>
      </w:r>
      <w:r w:rsidR="00D822A8">
        <w:t>4</w:t>
      </w:r>
      <w:r w:rsidR="00F43122" w:rsidRPr="006936BF">
        <w:t xml:space="preserve"> (Форма </w:t>
      </w:r>
      <w:r w:rsidR="00F43122">
        <w:t>4</w:t>
      </w:r>
      <w:r w:rsidR="00FB3D6A">
        <w:t>.1-.4.</w:t>
      </w:r>
      <w:r w:rsidR="00D822A8">
        <w:t>4</w:t>
      </w:r>
      <w:r w:rsidR="00F43122" w:rsidRPr="006936BF">
        <w:t>)</w:t>
      </w:r>
      <w:r w:rsidR="00FB3D6A">
        <w:t xml:space="preserve"> с приложениями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 xml:space="preserve">заполненную, подписанную  Калькуляцию, </w:t>
      </w:r>
      <w:r w:rsidR="00F43122" w:rsidRPr="00D302C2">
        <w:rPr>
          <w:lang w:val="en-US"/>
        </w:rPr>
        <w:t>c</w:t>
      </w:r>
      <w:r w:rsidR="00F43122" w:rsidRPr="00D302C2">
        <w:t xml:space="preserve"> расшифровкой по стоимости затрат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с электронными версиями Форм (4</w:t>
      </w:r>
      <w:r w:rsidR="00FB3D6A">
        <w:t>.1</w:t>
      </w:r>
      <w:r w:rsidR="00A440BA" w:rsidRPr="00A440BA">
        <w:t>-</w:t>
      </w:r>
      <w:r w:rsidR="00F43122">
        <w:t>8</w:t>
      </w:r>
      <w:r w:rsidR="00A440BA" w:rsidRPr="00A440BA">
        <w:t xml:space="preserve">)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="00FB3D6A">
        <w:t>.1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1A0905" w:rsidRDefault="001A0905" w:rsidP="00CB055E">
      <w:pPr>
        <w:ind w:firstLine="708"/>
        <w:jc w:val="both"/>
        <w:rPr>
          <w:b/>
          <w:color w:val="000000"/>
        </w:rPr>
      </w:pPr>
      <w:r w:rsidRPr="001A0905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>
        <w:rPr>
          <w:b/>
        </w:rPr>
        <w:t>«</w:t>
      </w:r>
      <w:r w:rsidR="00D1436F">
        <w:rPr>
          <w:u w:val="single"/>
        </w:rPr>
        <w:t>21</w:t>
      </w:r>
      <w:r w:rsidRPr="000127F9">
        <w:rPr>
          <w:b/>
        </w:rPr>
        <w:t xml:space="preserve">» </w:t>
      </w:r>
      <w:r w:rsidR="00D1436F">
        <w:rPr>
          <w:b/>
        </w:rPr>
        <w:t>ноября</w:t>
      </w:r>
      <w:r w:rsidR="00E67AA2">
        <w:rPr>
          <w:b/>
        </w:rPr>
        <w:t xml:space="preserve"> </w:t>
      </w:r>
      <w:r w:rsidRPr="000127F9">
        <w:rPr>
          <w:b/>
        </w:rPr>
        <w:t>2014года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6936BF" w:rsidRPr="006936BF" w:rsidRDefault="00400B0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Главный специалист отдела разработки нефтегазовых месторождений</w:t>
      </w:r>
    </w:p>
    <w:p w:rsidR="00F43122" w:rsidRDefault="00400B0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Литтау Татьяна Владимировна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тел. (34643) </w:t>
      </w:r>
      <w:r w:rsidR="00B47317">
        <w:rPr>
          <w:rFonts w:eastAsia="Calibri"/>
        </w:rPr>
        <w:t>43-</w:t>
      </w:r>
      <w:r w:rsidR="00400B0F">
        <w:rPr>
          <w:rFonts w:eastAsia="Calibri"/>
        </w:rPr>
        <w:t>260</w:t>
      </w:r>
      <w:r w:rsidR="006936BF" w:rsidRPr="006936BF">
        <w:rPr>
          <w:rFonts w:eastAsia="Calibri"/>
        </w:rPr>
        <w:t>,</w:t>
      </w:r>
      <w:r w:rsidR="006936BF" w:rsidRPr="006936BF">
        <w:rPr>
          <w:rFonts w:eastAsia="Calibri"/>
          <w:u w:val="single"/>
        </w:rPr>
        <w:t xml:space="preserve"> </w:t>
      </w:r>
      <w:hyperlink r:id="rId8" w:history="1">
        <w:r w:rsidR="00400B0F" w:rsidRPr="003B1CC7">
          <w:rPr>
            <w:rStyle w:val="af4"/>
            <w:rFonts w:eastAsia="Calibri"/>
            <w:lang w:val="en-US"/>
          </w:rPr>
          <w:t>LittauTV</w:t>
        </w:r>
        <w:r w:rsidR="00400B0F" w:rsidRPr="003B1CC7">
          <w:rPr>
            <w:rStyle w:val="af4"/>
            <w:rFonts w:eastAsia="Calibri"/>
          </w:rPr>
          <w:t>@mng.slavneft.ru</w:t>
        </w:r>
      </w:hyperlink>
      <w:r w:rsidR="006936BF" w:rsidRPr="006936BF">
        <w:rPr>
          <w:rFonts w:eastAsia="Calibri"/>
          <w:u w:val="single"/>
        </w:rPr>
        <w:t>;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F43122" w:rsidRPr="00F43122" w:rsidRDefault="00F43122" w:rsidP="00F43122">
      <w:pPr>
        <w:ind w:firstLine="708"/>
        <w:jc w:val="both"/>
        <w:rPr>
          <w:rFonts w:eastAsia="Calibri"/>
        </w:rPr>
      </w:pPr>
      <w:r w:rsidRPr="00F43122">
        <w:rPr>
          <w:rFonts w:eastAsia="Calibri"/>
        </w:rPr>
        <w:t xml:space="preserve">Геолог 1 категории отдела </w:t>
      </w:r>
      <w:r w:rsidR="00400B0F" w:rsidRPr="00400B0F">
        <w:rPr>
          <w:rFonts w:eastAsia="Calibri"/>
        </w:rPr>
        <w:t>разработки нефтегазовых месторождений</w:t>
      </w:r>
      <w:r w:rsidRPr="00F43122">
        <w:rPr>
          <w:rFonts w:eastAsia="Calibri"/>
        </w:rPr>
        <w:t xml:space="preserve">– </w:t>
      </w:r>
    </w:p>
    <w:p w:rsidR="00400B0F" w:rsidRDefault="00400B0F" w:rsidP="00F43122">
      <w:pPr>
        <w:ind w:firstLine="708"/>
        <w:jc w:val="both"/>
        <w:rPr>
          <w:rFonts w:eastAsia="Calibri"/>
        </w:rPr>
      </w:pPr>
      <w:r>
        <w:rPr>
          <w:rFonts w:eastAsia="Calibri"/>
        </w:rPr>
        <w:t>Савельева Наталья Вячеславовна</w:t>
      </w:r>
    </w:p>
    <w:p w:rsidR="006936BF" w:rsidRDefault="00400B0F" w:rsidP="00F43122">
      <w:pPr>
        <w:ind w:firstLine="708"/>
        <w:jc w:val="both"/>
        <w:rPr>
          <w:rFonts w:eastAsia="Calibri"/>
        </w:rPr>
      </w:pPr>
      <w:r>
        <w:rPr>
          <w:rFonts w:eastAsia="Calibri"/>
        </w:rPr>
        <w:t>Тел. 8-34643-43-166</w:t>
      </w:r>
      <w:r w:rsidR="00F43122" w:rsidRPr="00F43122">
        <w:rPr>
          <w:rFonts w:eastAsia="Calibri"/>
        </w:rPr>
        <w:t xml:space="preserve">, </w:t>
      </w:r>
      <w:hyperlink r:id="rId9" w:history="1">
        <w:r w:rsidR="00EC0628" w:rsidRPr="003B1CC7">
          <w:rPr>
            <w:rStyle w:val="af4"/>
            <w:rFonts w:eastAsia="Calibri"/>
            <w:lang w:val="en-US"/>
          </w:rPr>
          <w:t>SavelevaNV</w:t>
        </w:r>
        <w:r w:rsidR="00EC0628" w:rsidRPr="003B1CC7">
          <w:rPr>
            <w:rStyle w:val="af4"/>
            <w:rFonts w:eastAsia="Calibri"/>
          </w:rPr>
          <w:t>@mng.slavneft.ru</w:t>
        </w:r>
      </w:hyperlink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Хромова Наталья Васильевна</w:t>
      </w:r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47-147,  </w:t>
      </w:r>
      <w:r w:rsidRPr="006936BF">
        <w:rPr>
          <w:rFonts w:eastAsia="Calibri"/>
          <w:u w:val="single"/>
          <w:lang w:val="en-US"/>
        </w:rPr>
        <w:t>HromovaNV</w:t>
      </w:r>
      <w:r w:rsidRPr="006936BF">
        <w:rPr>
          <w:rFonts w:eastAsia="Calibri"/>
          <w:u w:val="single"/>
        </w:rPr>
        <w:t xml:space="preserve">@ </w:t>
      </w:r>
      <w:r w:rsidRPr="006936BF">
        <w:rPr>
          <w:rFonts w:eastAsia="Calibri"/>
          <w:u w:val="single"/>
          <w:lang w:val="en-US"/>
        </w:rPr>
        <w:t>mng</w:t>
      </w:r>
      <w:r w:rsidRPr="006936BF">
        <w:rPr>
          <w:rFonts w:eastAsia="Calibri"/>
          <w:u w:val="single"/>
        </w:rPr>
        <w:t>.</w:t>
      </w:r>
      <w:r w:rsidRPr="006936BF">
        <w:rPr>
          <w:rFonts w:eastAsia="Calibri"/>
          <w:u w:val="single"/>
          <w:lang w:val="en-US"/>
        </w:rPr>
        <w:t>slavneft</w:t>
      </w:r>
      <w:r w:rsidRPr="006936BF">
        <w:rPr>
          <w:rFonts w:eastAsia="Calibri"/>
          <w:u w:val="single"/>
        </w:rPr>
        <w:t>.</w:t>
      </w:r>
      <w:r w:rsidRPr="006936BF">
        <w:rPr>
          <w:rFonts w:eastAsia="Calibri"/>
          <w:u w:val="single"/>
          <w:lang w:val="en-US"/>
        </w:rPr>
        <w:t>ru</w:t>
      </w: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lastRenderedPageBreak/>
        <w:t>По вопросам организационного характера обращаться: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Акимова Елена Викторовна,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 xml:space="preserve">тел. (34643) 46-021,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r w:rsidRPr="00C96303">
          <w:rPr>
            <w:rStyle w:val="af4"/>
            <w:rFonts w:eastAsia="Calibri"/>
            <w:lang w:val="en-US"/>
          </w:rPr>
          <w:t>mng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slavneft</w:t>
        </w:r>
        <w:r w:rsidRPr="00C96303">
          <w:rPr>
            <w:rStyle w:val="af4"/>
            <w:rFonts w:eastAsia="Calibri"/>
          </w:rPr>
          <w:t>.</w:t>
        </w:r>
        <w:r w:rsidRPr="00C96303">
          <w:rPr>
            <w:rStyle w:val="af4"/>
            <w:rFonts w:eastAsia="Calibri"/>
            <w:lang w:val="en-US"/>
          </w:rPr>
          <w:t>ru</w:t>
        </w:r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>Внимание: настоящее предложение ни при каких обстоятельствах не может расцениваться как публичная оферта. Соответственно, ОАО «Славнефть-Мегионнефтегаз»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0127F9" w:rsidRDefault="00EE5AE3" w:rsidP="00EE5AE3">
      <w:pPr>
        <w:ind w:firstLine="708"/>
        <w:jc w:val="both"/>
      </w:pPr>
      <w:r w:rsidRPr="000127F9"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D822A8">
        <w:rPr>
          <w:b/>
          <w:sz w:val="22"/>
          <w:szCs w:val="22"/>
        </w:rPr>
        <w:t>823</w:t>
      </w:r>
      <w:r w:rsidRPr="000A24D5">
        <w:rPr>
          <w:b/>
          <w:sz w:val="22"/>
          <w:szCs w:val="22"/>
        </w:rPr>
        <w:t xml:space="preserve">/ТК/2014 </w:t>
      </w:r>
      <w:r w:rsidR="00D1436F">
        <w:rPr>
          <w:b/>
          <w:sz w:val="22"/>
          <w:szCs w:val="22"/>
        </w:rPr>
        <w:t>от «13</w:t>
      </w:r>
      <w:r w:rsidR="00D96FC8" w:rsidRPr="00D96FC8">
        <w:rPr>
          <w:b/>
          <w:sz w:val="22"/>
          <w:szCs w:val="22"/>
        </w:rPr>
        <w:t>»</w:t>
      </w:r>
      <w:r w:rsidR="00D1436F">
        <w:rPr>
          <w:b/>
          <w:sz w:val="22"/>
          <w:szCs w:val="22"/>
        </w:rPr>
        <w:t xml:space="preserve"> ноября</w:t>
      </w:r>
      <w:r w:rsidR="00D96FC8" w:rsidRPr="00D96FC8">
        <w:rPr>
          <w:b/>
          <w:sz w:val="22"/>
          <w:szCs w:val="22"/>
        </w:rPr>
        <w:t xml:space="preserve">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051AA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EC0628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Pr="00483878">
        <w:rPr>
          <w:b/>
          <w:sz w:val="22"/>
          <w:szCs w:val="22"/>
        </w:rPr>
        <w:t>Договора</w:t>
      </w:r>
      <w:r w:rsidR="00A71753" w:rsidRPr="00A71753">
        <w:t xml:space="preserve"> </w:t>
      </w:r>
      <w:r w:rsidR="00EC0628" w:rsidRPr="00EC0628">
        <w:rPr>
          <w:b/>
          <w:sz w:val="22"/>
          <w:szCs w:val="22"/>
        </w:rPr>
        <w:t>на проведение гидродинамических исследований скважин</w:t>
      </w:r>
      <w:r w:rsidR="00EC0628">
        <w:rPr>
          <w:b/>
          <w:sz w:val="22"/>
          <w:szCs w:val="22"/>
        </w:rPr>
        <w:t xml:space="preserve"> </w:t>
      </w:r>
      <w:r w:rsidR="00EC0628" w:rsidRPr="00EC0628">
        <w:rPr>
          <w:b/>
          <w:sz w:val="22"/>
          <w:szCs w:val="22"/>
        </w:rPr>
        <w:t xml:space="preserve">на месторождениях ОАО «СН-МНГ» </w:t>
      </w:r>
      <w:r w:rsidRPr="00483878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EC0628">
              <w:rPr>
                <w:szCs w:val="16"/>
              </w:rPr>
              <w:t>01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01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C16A12">
              <w:rPr>
                <w:szCs w:val="16"/>
              </w:rPr>
              <w:t>3</w:t>
            </w:r>
            <w:r w:rsidR="00B47317">
              <w:rPr>
                <w:szCs w:val="16"/>
              </w:rPr>
              <w:t>1</w:t>
            </w:r>
            <w:r w:rsidR="00C16A12">
              <w:rPr>
                <w:szCs w:val="16"/>
              </w:rPr>
              <w:t>.</w:t>
            </w:r>
            <w:r w:rsidR="00B47317">
              <w:rPr>
                <w:szCs w:val="16"/>
              </w:rPr>
              <w:t>12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47317" w:rsidRPr="00F63D76" w:rsidTr="00093187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Pr="00E27046" w:rsidRDefault="00B47317" w:rsidP="00B47317">
            <w:r w:rsidRPr="00E27046">
              <w:t>Увеличение (+</w:t>
            </w:r>
            <w:r>
              <w:t>3</w:t>
            </w:r>
            <w:r w:rsidRPr="00E27046">
              <w:t>0)/уменьшение (-</w:t>
            </w:r>
            <w:r>
              <w:t>3</w:t>
            </w:r>
            <w:r w:rsidRPr="00E27046">
              <w:t>0)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317" w:rsidRDefault="00B47317" w:rsidP="00B47317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47317" w:rsidRPr="00E27046" w:rsidRDefault="00B47317" w:rsidP="00B47317">
            <w:pPr>
              <w:pStyle w:val="aff9"/>
              <w:jc w:val="center"/>
            </w:pPr>
            <w:r w:rsidRPr="00B47317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Заказчик обязуется осуществить оплату выполненных Работ в течение 90 календарных дней, но не ранее 60 дней с даты получения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9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9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>
        <w:rPr>
          <w:rFonts w:ascii="Times New Roman" w:hAnsi="Times New Roman"/>
        </w:rPr>
        <w:t>31</w:t>
      </w:r>
      <w:r w:rsidRPr="005719FC">
        <w:rPr>
          <w:rFonts w:ascii="Times New Roman" w:hAnsi="Times New Roman"/>
        </w:rPr>
        <w:t xml:space="preserve">» </w:t>
      </w:r>
      <w:r w:rsidR="00D822A8">
        <w:rPr>
          <w:rFonts w:ascii="Times New Roman" w:hAnsi="Times New Roman"/>
        </w:rPr>
        <w:t>марта</w:t>
      </w:r>
      <w:r>
        <w:rPr>
          <w:rFonts w:ascii="Times New Roman" w:hAnsi="Times New Roman"/>
        </w:rPr>
        <w:t xml:space="preserve"> </w:t>
      </w:r>
      <w:r w:rsidRPr="005719FC">
        <w:rPr>
          <w:rFonts w:ascii="Times New Roman" w:hAnsi="Times New Roman"/>
        </w:rPr>
        <w:t xml:space="preserve"> 201</w:t>
      </w:r>
      <w:r w:rsidR="00D822A8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D1436F">
            <w:pPr>
              <w:jc w:val="right"/>
            </w:pPr>
            <w:r w:rsidRPr="000127F9">
              <w:t>Протокол  № _____</w:t>
            </w:r>
            <w:r w:rsidR="00D1436F">
              <w:rPr>
                <w:u w:val="single"/>
              </w:rPr>
              <w:t>377</w:t>
            </w:r>
            <w:r w:rsidRPr="000127F9">
              <w:t>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D1436F">
            <w:pPr>
              <w:jc w:val="right"/>
            </w:pPr>
            <w:r w:rsidRPr="000127F9">
              <w:t>«</w:t>
            </w:r>
            <w:r w:rsidR="00D1436F">
              <w:t>13</w:t>
            </w:r>
            <w:r w:rsidRPr="000127F9">
              <w:t xml:space="preserve">» </w:t>
            </w:r>
            <w:r w:rsidR="00D1436F">
              <w:t>ноября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EC0628" w:rsidRPr="00D96FC8" w:rsidRDefault="00EC0628" w:rsidP="00EC062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EC0628" w:rsidRPr="00D96FC8" w:rsidRDefault="00EC0628" w:rsidP="00EC062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EC0628" w:rsidRPr="00D96FC8" w:rsidRDefault="00EC0628" w:rsidP="00EC062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EC0628" w:rsidRPr="00D96FC8" w:rsidRDefault="00EC0628" w:rsidP="00EC062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iCs/>
          <w:sz w:val="28"/>
          <w:szCs w:val="28"/>
        </w:rPr>
      </w:pPr>
      <w:r w:rsidRPr="00D96FC8">
        <w:rPr>
          <w:i/>
          <w:iCs/>
          <w:sz w:val="28"/>
          <w:szCs w:val="28"/>
        </w:rPr>
        <w:t xml:space="preserve">1.Общие положения. </w:t>
      </w:r>
    </w:p>
    <w:p w:rsidR="00EC0628" w:rsidRPr="005429E1" w:rsidRDefault="00EC0628" w:rsidP="00EC062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09" w:firstLine="0"/>
        <w:jc w:val="both"/>
        <w:rPr>
          <w:sz w:val="22"/>
          <w:szCs w:val="22"/>
        </w:rPr>
      </w:pPr>
      <w:r>
        <w:t>П</w:t>
      </w:r>
      <w:r w:rsidRPr="00EC0628">
        <w:t xml:space="preserve">роведение гидродинамических исследований скважин на месторождениях ОАО «СН-МНГ» </w:t>
      </w:r>
      <w:r w:rsidRPr="00D96FC8">
        <w:rPr>
          <w:bCs/>
        </w:rPr>
        <w:t>Место выполнения работ: все месторождения ОАО «СН-МНГ»;</w:t>
      </w:r>
    </w:p>
    <w:p w:rsidR="00EC0628" w:rsidRDefault="00EC0628" w:rsidP="00EC062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0" w:firstLine="709"/>
        <w:jc w:val="both"/>
        <w:rPr>
          <w:sz w:val="22"/>
          <w:szCs w:val="22"/>
        </w:rPr>
      </w:pPr>
      <w:r w:rsidRPr="005429E1">
        <w:rPr>
          <w:sz w:val="22"/>
          <w:szCs w:val="22"/>
        </w:rPr>
        <w:t xml:space="preserve">Объем работ:           </w:t>
      </w:r>
    </w:p>
    <w:p w:rsidR="00EC0628" w:rsidRPr="00EC0628" w:rsidRDefault="00EC0628" w:rsidP="00EC062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C0628">
        <w:rPr>
          <w:sz w:val="22"/>
          <w:szCs w:val="22"/>
        </w:rPr>
        <w:t xml:space="preserve">По лоту 1 -   </w:t>
      </w:r>
      <w:r w:rsidR="00D822A8">
        <w:rPr>
          <w:sz w:val="22"/>
          <w:szCs w:val="22"/>
        </w:rPr>
        <w:t>61 083 исследований</w:t>
      </w:r>
      <w:r w:rsidRPr="00EC0628">
        <w:rPr>
          <w:sz w:val="22"/>
          <w:szCs w:val="22"/>
        </w:rPr>
        <w:t xml:space="preserve"> </w:t>
      </w:r>
    </w:p>
    <w:p w:rsidR="00EC0628" w:rsidRDefault="00EC0628" w:rsidP="00EC062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C0628">
        <w:rPr>
          <w:sz w:val="22"/>
          <w:szCs w:val="22"/>
        </w:rPr>
        <w:t xml:space="preserve">По лоту 2 -   </w:t>
      </w:r>
      <w:r w:rsidR="00D822A8">
        <w:rPr>
          <w:sz w:val="22"/>
          <w:szCs w:val="22"/>
        </w:rPr>
        <w:t>228 исследований</w:t>
      </w:r>
    </w:p>
    <w:p w:rsidR="00EC0628" w:rsidRPr="00EC0628" w:rsidRDefault="00EC0628" w:rsidP="00EC0628">
      <w:pPr>
        <w:numPr>
          <w:ilvl w:val="0"/>
          <w:numId w:val="5"/>
        </w:numPr>
        <w:rPr>
          <w:sz w:val="22"/>
          <w:szCs w:val="22"/>
        </w:rPr>
      </w:pPr>
      <w:r w:rsidRPr="00EC0628">
        <w:rPr>
          <w:sz w:val="22"/>
          <w:szCs w:val="22"/>
        </w:rPr>
        <w:t xml:space="preserve">По лоту </w:t>
      </w:r>
      <w:r>
        <w:rPr>
          <w:sz w:val="22"/>
          <w:szCs w:val="22"/>
        </w:rPr>
        <w:t>3</w:t>
      </w:r>
      <w:r w:rsidRPr="00EC0628">
        <w:rPr>
          <w:sz w:val="22"/>
          <w:szCs w:val="22"/>
        </w:rPr>
        <w:t xml:space="preserve"> -   </w:t>
      </w:r>
      <w:r>
        <w:rPr>
          <w:sz w:val="22"/>
          <w:szCs w:val="22"/>
        </w:rPr>
        <w:t xml:space="preserve">  </w:t>
      </w:r>
      <w:r w:rsidR="00D822A8">
        <w:rPr>
          <w:sz w:val="22"/>
          <w:szCs w:val="22"/>
        </w:rPr>
        <w:t>1629  исследований</w:t>
      </w:r>
    </w:p>
    <w:p w:rsidR="00EC0628" w:rsidRDefault="00EC0628" w:rsidP="00EC062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 лоту 4 -    </w:t>
      </w:r>
      <w:r w:rsidR="00D822A8">
        <w:rPr>
          <w:sz w:val="22"/>
          <w:szCs w:val="22"/>
        </w:rPr>
        <w:t>1816  исследований</w:t>
      </w:r>
    </w:p>
    <w:p w:rsidR="00EC0628" w:rsidRDefault="00EC0628" w:rsidP="00EC0628">
      <w:pPr>
        <w:autoSpaceDE w:val="0"/>
        <w:autoSpaceDN w:val="0"/>
        <w:adjustRightInd w:val="0"/>
        <w:spacing w:line="276" w:lineRule="auto"/>
        <w:ind w:left="851"/>
        <w:jc w:val="both"/>
        <w:rPr>
          <w:sz w:val="22"/>
          <w:szCs w:val="22"/>
        </w:rPr>
      </w:pPr>
    </w:p>
    <w:p w:rsidR="00EC0628" w:rsidRPr="005429E1" w:rsidRDefault="00EC0628" w:rsidP="00EC0628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851" w:firstLine="0"/>
        <w:jc w:val="both"/>
        <w:rPr>
          <w:sz w:val="22"/>
          <w:szCs w:val="22"/>
        </w:rPr>
      </w:pPr>
      <w:r w:rsidRPr="005429E1">
        <w:rPr>
          <w:sz w:val="22"/>
          <w:szCs w:val="22"/>
        </w:rPr>
        <w:t xml:space="preserve">Стартовая стоимость договора (в рублях без учета НДС 18%): </w:t>
      </w:r>
    </w:p>
    <w:p w:rsidR="00EC0628" w:rsidRPr="005429E1" w:rsidRDefault="00EC0628" w:rsidP="00EC0628">
      <w:pPr>
        <w:autoSpaceDE w:val="0"/>
        <w:autoSpaceDN w:val="0"/>
        <w:adjustRightInd w:val="0"/>
        <w:spacing w:line="276" w:lineRule="auto"/>
        <w:ind w:left="993"/>
        <w:jc w:val="both"/>
        <w:rPr>
          <w:sz w:val="22"/>
          <w:szCs w:val="22"/>
        </w:rPr>
      </w:pPr>
      <w:r w:rsidRPr="005429E1">
        <w:rPr>
          <w:sz w:val="22"/>
          <w:szCs w:val="22"/>
        </w:rPr>
        <w:t xml:space="preserve">• По лоту 1 -   0.00 руб.; (Форма </w:t>
      </w:r>
      <w:r>
        <w:rPr>
          <w:sz w:val="22"/>
          <w:szCs w:val="22"/>
        </w:rPr>
        <w:t>4.1</w:t>
      </w:r>
      <w:r w:rsidRPr="005429E1">
        <w:rPr>
          <w:sz w:val="22"/>
          <w:szCs w:val="22"/>
        </w:rPr>
        <w:t xml:space="preserve">); </w:t>
      </w:r>
    </w:p>
    <w:p w:rsidR="00EC0628" w:rsidRDefault="00EC0628" w:rsidP="00EC0628">
      <w:pPr>
        <w:autoSpaceDE w:val="0"/>
        <w:autoSpaceDN w:val="0"/>
        <w:adjustRightInd w:val="0"/>
        <w:spacing w:line="276" w:lineRule="auto"/>
        <w:ind w:left="993"/>
        <w:jc w:val="both"/>
        <w:rPr>
          <w:sz w:val="22"/>
          <w:szCs w:val="22"/>
        </w:rPr>
      </w:pPr>
      <w:r w:rsidRPr="005429E1">
        <w:rPr>
          <w:sz w:val="22"/>
          <w:szCs w:val="22"/>
        </w:rPr>
        <w:t xml:space="preserve">• По лоту 2 -   0.00 руб.; (Форма </w:t>
      </w:r>
      <w:r>
        <w:rPr>
          <w:sz w:val="22"/>
          <w:szCs w:val="22"/>
        </w:rPr>
        <w:t>4.2</w:t>
      </w:r>
      <w:r w:rsidRPr="005429E1">
        <w:rPr>
          <w:sz w:val="22"/>
          <w:szCs w:val="22"/>
        </w:rPr>
        <w:t xml:space="preserve">); </w:t>
      </w:r>
    </w:p>
    <w:p w:rsidR="00EC0628" w:rsidRDefault="00EC0628" w:rsidP="00EC0628">
      <w:pPr>
        <w:autoSpaceDE w:val="0"/>
        <w:autoSpaceDN w:val="0"/>
        <w:adjustRightInd w:val="0"/>
        <w:spacing w:line="276" w:lineRule="auto"/>
        <w:ind w:left="993"/>
        <w:jc w:val="both"/>
        <w:rPr>
          <w:sz w:val="22"/>
          <w:szCs w:val="22"/>
        </w:rPr>
      </w:pPr>
      <w:r w:rsidRPr="00EC0628">
        <w:rPr>
          <w:sz w:val="22"/>
          <w:szCs w:val="22"/>
        </w:rPr>
        <w:t xml:space="preserve">• По лоту </w:t>
      </w:r>
      <w:r>
        <w:rPr>
          <w:sz w:val="22"/>
          <w:szCs w:val="22"/>
        </w:rPr>
        <w:t>3</w:t>
      </w:r>
      <w:r w:rsidRPr="00EC0628">
        <w:rPr>
          <w:sz w:val="22"/>
          <w:szCs w:val="22"/>
        </w:rPr>
        <w:t xml:space="preserve"> -   0.00 руб.; (Форма </w:t>
      </w:r>
      <w:r>
        <w:rPr>
          <w:sz w:val="22"/>
          <w:szCs w:val="22"/>
        </w:rPr>
        <w:t>4.3</w:t>
      </w:r>
      <w:r w:rsidRPr="00EC0628">
        <w:rPr>
          <w:sz w:val="22"/>
          <w:szCs w:val="22"/>
        </w:rPr>
        <w:t>);</w:t>
      </w:r>
    </w:p>
    <w:p w:rsidR="00EC0628" w:rsidRDefault="00EC0628" w:rsidP="00EC0628">
      <w:pPr>
        <w:autoSpaceDE w:val="0"/>
        <w:autoSpaceDN w:val="0"/>
        <w:adjustRightInd w:val="0"/>
        <w:spacing w:line="276" w:lineRule="auto"/>
        <w:ind w:left="993"/>
        <w:jc w:val="both"/>
        <w:rPr>
          <w:sz w:val="22"/>
          <w:szCs w:val="22"/>
        </w:rPr>
      </w:pPr>
      <w:r w:rsidRPr="005429E1">
        <w:rPr>
          <w:sz w:val="22"/>
          <w:szCs w:val="22"/>
        </w:rPr>
        <w:t xml:space="preserve">• По лоту </w:t>
      </w:r>
      <w:r>
        <w:rPr>
          <w:sz w:val="22"/>
          <w:szCs w:val="22"/>
        </w:rPr>
        <w:t>4</w:t>
      </w:r>
      <w:r w:rsidRPr="005429E1">
        <w:rPr>
          <w:sz w:val="22"/>
          <w:szCs w:val="22"/>
        </w:rPr>
        <w:t xml:space="preserve"> -   0.00 руб.; (Форма </w:t>
      </w:r>
      <w:r>
        <w:rPr>
          <w:sz w:val="22"/>
          <w:szCs w:val="22"/>
        </w:rPr>
        <w:t>4.4</w:t>
      </w:r>
      <w:r w:rsidRPr="005429E1">
        <w:rPr>
          <w:sz w:val="22"/>
          <w:szCs w:val="22"/>
        </w:rPr>
        <w:t>);</w:t>
      </w:r>
    </w:p>
    <w:p w:rsidR="00D822A8" w:rsidRPr="005429E1" w:rsidRDefault="00D822A8" w:rsidP="00D822A8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EC0628" w:rsidRPr="00D96FC8" w:rsidRDefault="00EC0628" w:rsidP="00EC0628">
      <w:pPr>
        <w:autoSpaceDE w:val="0"/>
        <w:autoSpaceDN w:val="0"/>
        <w:adjustRightInd w:val="0"/>
        <w:spacing w:line="276" w:lineRule="auto"/>
        <w:ind w:left="709"/>
        <w:jc w:val="both"/>
        <w:rPr>
          <w:sz w:val="22"/>
          <w:szCs w:val="22"/>
        </w:rPr>
      </w:pPr>
      <w:r w:rsidRPr="005429E1">
        <w:rPr>
          <w:sz w:val="22"/>
          <w:szCs w:val="22"/>
        </w:rPr>
        <w:t xml:space="preserve">• </w:t>
      </w:r>
      <w:r w:rsidRPr="00D96FC8">
        <w:rPr>
          <w:lang w:eastAsia="en-US"/>
        </w:rPr>
        <w:t xml:space="preserve">Планируемые сроки </w:t>
      </w:r>
      <w:r w:rsidRPr="00D96FC8">
        <w:rPr>
          <w:bCs/>
        </w:rPr>
        <w:t>выполнения работ</w:t>
      </w:r>
      <w:r w:rsidRPr="00D96FC8">
        <w:rPr>
          <w:lang w:eastAsia="en-US"/>
        </w:rPr>
        <w:t xml:space="preserve"> </w:t>
      </w:r>
      <w:r w:rsidRPr="00D96FC8">
        <w:rPr>
          <w:b/>
          <w:lang w:eastAsia="en-US"/>
        </w:rPr>
        <w:t>01.01.2015г. – 31.12.2015г.</w:t>
      </w:r>
    </w:p>
    <w:p w:rsidR="00D6342A" w:rsidRPr="00D96FC8" w:rsidRDefault="00D6342A" w:rsidP="00D6342A">
      <w:pPr>
        <w:autoSpaceDE w:val="0"/>
        <w:autoSpaceDN w:val="0"/>
        <w:adjustRightInd w:val="0"/>
        <w:spacing w:line="276" w:lineRule="auto"/>
        <w:ind w:left="1353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2</w:t>
      </w:r>
      <w:r w:rsidRPr="00D96FC8">
        <w:rPr>
          <w:i/>
          <w:iCs/>
          <w:sz w:val="28"/>
          <w:szCs w:val="28"/>
        </w:rPr>
        <w:t>.</w:t>
      </w:r>
      <w:r>
        <w:rPr>
          <w:i/>
          <w:iCs/>
          <w:sz w:val="28"/>
          <w:szCs w:val="28"/>
        </w:rPr>
        <w:t>Особые условия.</w:t>
      </w:r>
      <w:r w:rsidRPr="00D96FC8">
        <w:rPr>
          <w:i/>
          <w:iCs/>
          <w:sz w:val="28"/>
          <w:szCs w:val="28"/>
        </w:rPr>
        <w:t xml:space="preserve"> </w:t>
      </w:r>
    </w:p>
    <w:p w:rsidR="00F4555A" w:rsidRDefault="00F4555A" w:rsidP="00D6342A">
      <w:pPr>
        <w:numPr>
          <w:ilvl w:val="1"/>
          <w:numId w:val="25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На период оказания услуг заключить договоры добровольного страхования  от несчастных случаев работников со страховой суммой не менее 400 тыс. рублей с включением в договор следующих рисков:</w:t>
      </w:r>
    </w:p>
    <w:p w:rsidR="00F4555A" w:rsidRDefault="00F4555A" w:rsidP="00F4555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>Смерть в результате несчастного случая;</w:t>
      </w:r>
    </w:p>
    <w:p w:rsidR="00F4555A" w:rsidRDefault="00F4555A" w:rsidP="00F4555A">
      <w:pPr>
        <w:numPr>
          <w:ilvl w:val="0"/>
          <w:numId w:val="21"/>
        </w:numPr>
        <w:shd w:val="clear" w:color="auto" w:fill="FFFFFF"/>
        <w:tabs>
          <w:tab w:val="left" w:pos="426"/>
        </w:tabs>
        <w:jc w:val="both"/>
        <w:rPr>
          <w:bCs/>
          <w:spacing w:val="4"/>
        </w:rPr>
      </w:pPr>
      <w:r>
        <w:rPr>
          <w:bCs/>
          <w:spacing w:val="4"/>
        </w:rPr>
        <w:t xml:space="preserve">Постоянная (полная) утрата трудоспособности в результате несчастного случая с установлением </w:t>
      </w:r>
      <w:r>
        <w:rPr>
          <w:bCs/>
          <w:spacing w:val="4"/>
          <w:lang w:val="en-US"/>
        </w:rPr>
        <w:t>I</w:t>
      </w:r>
      <w:r>
        <w:rPr>
          <w:bCs/>
          <w:spacing w:val="4"/>
        </w:rPr>
        <w:t xml:space="preserve">, </w:t>
      </w:r>
      <w:r>
        <w:rPr>
          <w:bCs/>
          <w:spacing w:val="4"/>
          <w:lang w:val="en-US"/>
        </w:rPr>
        <w:t>II</w:t>
      </w:r>
      <w:r>
        <w:rPr>
          <w:bCs/>
          <w:spacing w:val="4"/>
        </w:rPr>
        <w:t>,</w:t>
      </w:r>
      <w:r w:rsidRPr="00AF684D">
        <w:rPr>
          <w:bCs/>
          <w:spacing w:val="4"/>
        </w:rPr>
        <w:t xml:space="preserve"> </w:t>
      </w:r>
      <w:r>
        <w:rPr>
          <w:bCs/>
          <w:spacing w:val="4"/>
          <w:lang w:val="en-US"/>
        </w:rPr>
        <w:t>III</w:t>
      </w:r>
      <w:r>
        <w:rPr>
          <w:bCs/>
          <w:spacing w:val="4"/>
        </w:rPr>
        <w:t xml:space="preserve"> групп инвалидности.</w:t>
      </w:r>
    </w:p>
    <w:p w:rsidR="00F4555A" w:rsidRDefault="00F4555A" w:rsidP="00F4555A">
      <w:pPr>
        <w:autoSpaceDE w:val="0"/>
        <w:autoSpaceDN w:val="0"/>
        <w:adjustRightInd w:val="0"/>
        <w:spacing w:line="276" w:lineRule="auto"/>
        <w:jc w:val="both"/>
        <w:rPr>
          <w:bCs/>
          <w:spacing w:val="4"/>
          <w:u w:val="single"/>
        </w:rPr>
      </w:pPr>
      <w:r w:rsidRPr="00AF684D">
        <w:rPr>
          <w:bCs/>
          <w:spacing w:val="4"/>
          <w:u w:val="single"/>
        </w:rPr>
        <w:t>Договор добровольного страхования  от несчастных случаев заключать без увеличения стоимости оказания основных услуг</w:t>
      </w:r>
      <w:r w:rsidR="00D6342A">
        <w:rPr>
          <w:bCs/>
          <w:spacing w:val="4"/>
          <w:u w:val="single"/>
        </w:rPr>
        <w:t>.</w:t>
      </w:r>
    </w:p>
    <w:p w:rsidR="00D6342A" w:rsidRPr="004B3A59" w:rsidRDefault="00D6342A" w:rsidP="00F4555A">
      <w:pPr>
        <w:autoSpaceDE w:val="0"/>
        <w:autoSpaceDN w:val="0"/>
        <w:adjustRightInd w:val="0"/>
        <w:spacing w:line="276" w:lineRule="auto"/>
        <w:jc w:val="both"/>
        <w:rPr>
          <w:b/>
          <w:iCs/>
          <w:sz w:val="26"/>
          <w:szCs w:val="26"/>
        </w:rPr>
      </w:pPr>
      <w:r w:rsidRPr="004B3A59">
        <w:rPr>
          <w:b/>
          <w:iCs/>
          <w:sz w:val="26"/>
          <w:szCs w:val="26"/>
        </w:rPr>
        <w:t>Приложения к Форме 5:</w:t>
      </w:r>
    </w:p>
    <w:p w:rsidR="00D6342A" w:rsidRDefault="00D6342A" w:rsidP="00D6342A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jc w:val="both"/>
        <w:rPr>
          <w:iCs/>
          <w:sz w:val="26"/>
          <w:szCs w:val="26"/>
        </w:rPr>
      </w:pPr>
      <w:r>
        <w:rPr>
          <w:iCs/>
          <w:sz w:val="26"/>
          <w:szCs w:val="26"/>
        </w:rPr>
        <w:t>Требования к предмету оферты по лоту №1.</w:t>
      </w:r>
    </w:p>
    <w:p w:rsidR="00D6342A" w:rsidRDefault="00D6342A" w:rsidP="00D6342A">
      <w:pPr>
        <w:numPr>
          <w:ilvl w:val="0"/>
          <w:numId w:val="26"/>
        </w:numPr>
        <w:rPr>
          <w:iCs/>
          <w:sz w:val="26"/>
          <w:szCs w:val="26"/>
        </w:rPr>
      </w:pPr>
      <w:r w:rsidRPr="00D6342A">
        <w:rPr>
          <w:iCs/>
          <w:sz w:val="26"/>
          <w:szCs w:val="26"/>
        </w:rPr>
        <w:t>Требования к предмету оферты по лоту №</w:t>
      </w:r>
      <w:r w:rsidR="00CA4DF8">
        <w:rPr>
          <w:iCs/>
          <w:sz w:val="26"/>
          <w:szCs w:val="26"/>
        </w:rPr>
        <w:t>2</w:t>
      </w:r>
      <w:r w:rsidRPr="00D6342A">
        <w:rPr>
          <w:iCs/>
          <w:sz w:val="26"/>
          <w:szCs w:val="26"/>
        </w:rPr>
        <w:t>.</w:t>
      </w:r>
    </w:p>
    <w:p w:rsidR="00D6342A" w:rsidRPr="00D6342A" w:rsidRDefault="00D6342A" w:rsidP="00D6342A">
      <w:pPr>
        <w:numPr>
          <w:ilvl w:val="0"/>
          <w:numId w:val="26"/>
        </w:numPr>
        <w:rPr>
          <w:iCs/>
          <w:sz w:val="26"/>
          <w:szCs w:val="26"/>
        </w:rPr>
      </w:pPr>
      <w:r w:rsidRPr="00D6342A">
        <w:rPr>
          <w:iCs/>
          <w:sz w:val="26"/>
          <w:szCs w:val="26"/>
        </w:rPr>
        <w:t>Требования к предмету оферты по лоту №</w:t>
      </w:r>
      <w:r w:rsidR="00CA4DF8">
        <w:rPr>
          <w:iCs/>
          <w:sz w:val="26"/>
          <w:szCs w:val="26"/>
        </w:rPr>
        <w:t>3</w:t>
      </w:r>
      <w:r w:rsidRPr="00D6342A">
        <w:rPr>
          <w:iCs/>
          <w:sz w:val="26"/>
          <w:szCs w:val="26"/>
        </w:rPr>
        <w:t>.</w:t>
      </w:r>
    </w:p>
    <w:p w:rsidR="00CA4DF8" w:rsidRPr="00CA4DF8" w:rsidRDefault="00CA4DF8" w:rsidP="00CA4DF8">
      <w:pPr>
        <w:numPr>
          <w:ilvl w:val="0"/>
          <w:numId w:val="26"/>
        </w:numPr>
        <w:rPr>
          <w:iCs/>
          <w:sz w:val="26"/>
          <w:szCs w:val="26"/>
        </w:rPr>
      </w:pPr>
      <w:r w:rsidRPr="00CA4DF8">
        <w:rPr>
          <w:iCs/>
          <w:sz w:val="26"/>
          <w:szCs w:val="26"/>
        </w:rPr>
        <w:t>Требования к предмету оферты по лоту №</w:t>
      </w:r>
      <w:r>
        <w:rPr>
          <w:iCs/>
          <w:sz w:val="26"/>
          <w:szCs w:val="26"/>
        </w:rPr>
        <w:t>4</w:t>
      </w:r>
      <w:r w:rsidRPr="00CA4DF8">
        <w:rPr>
          <w:iCs/>
          <w:sz w:val="26"/>
          <w:szCs w:val="26"/>
        </w:rPr>
        <w:t>.</w:t>
      </w:r>
    </w:p>
    <w:p w:rsidR="00D6342A" w:rsidRPr="00D6342A" w:rsidRDefault="00D6342A" w:rsidP="00CA4DF8">
      <w:pPr>
        <w:ind w:left="360"/>
        <w:rPr>
          <w:iCs/>
          <w:sz w:val="26"/>
          <w:szCs w:val="26"/>
        </w:rPr>
      </w:pPr>
    </w:p>
    <w:p w:rsidR="005F4391" w:rsidRDefault="005F4391" w:rsidP="005F4391">
      <w:pPr>
        <w:autoSpaceDE w:val="0"/>
        <w:autoSpaceDN w:val="0"/>
        <w:adjustRightInd w:val="0"/>
        <w:jc w:val="both"/>
        <w:rPr>
          <w:sz w:val="22"/>
        </w:rPr>
      </w:pPr>
    </w:p>
    <w:p w:rsidR="00D822A8" w:rsidRDefault="00D822A8" w:rsidP="006349C3">
      <w:pPr>
        <w:jc w:val="both"/>
        <w:rPr>
          <w:rFonts w:cs="Arial"/>
          <w:szCs w:val="22"/>
        </w:rPr>
      </w:pPr>
    </w:p>
    <w:p w:rsidR="00D1436F" w:rsidRDefault="00D1436F" w:rsidP="006349C3">
      <w:pPr>
        <w:jc w:val="both"/>
        <w:rPr>
          <w:rFonts w:cs="Arial"/>
          <w:szCs w:val="22"/>
        </w:rPr>
      </w:pPr>
    </w:p>
    <w:p w:rsidR="00D1436F" w:rsidRDefault="00D1436F" w:rsidP="006349C3">
      <w:pPr>
        <w:jc w:val="both"/>
        <w:rPr>
          <w:rFonts w:cs="Arial"/>
          <w:szCs w:val="22"/>
        </w:rPr>
      </w:pPr>
    </w:p>
    <w:p w:rsidR="00D1436F" w:rsidRDefault="00D1436F" w:rsidP="006349C3">
      <w:pPr>
        <w:jc w:val="both"/>
        <w:rPr>
          <w:rFonts w:cs="Arial"/>
          <w:szCs w:val="22"/>
        </w:rPr>
      </w:pPr>
    </w:p>
    <w:p w:rsidR="00D822A8" w:rsidRDefault="00D822A8" w:rsidP="006349C3">
      <w:pPr>
        <w:jc w:val="both"/>
        <w:rPr>
          <w:rFonts w:cs="Arial"/>
          <w:szCs w:val="22"/>
        </w:rPr>
      </w:pPr>
    </w:p>
    <w:p w:rsidR="00D822A8" w:rsidRDefault="00D822A8" w:rsidP="006349C3">
      <w:pPr>
        <w:jc w:val="both"/>
        <w:rPr>
          <w:rFonts w:cs="Arial"/>
          <w:szCs w:val="22"/>
        </w:rPr>
      </w:pPr>
    </w:p>
    <w:p w:rsidR="00D822A8" w:rsidRDefault="00D822A8" w:rsidP="006349C3">
      <w:pPr>
        <w:jc w:val="both"/>
        <w:rPr>
          <w:rFonts w:cs="Arial"/>
          <w:szCs w:val="22"/>
        </w:rPr>
      </w:pPr>
    </w:p>
    <w:p w:rsidR="006349C3" w:rsidRPr="002B1BD0" w:rsidRDefault="006349C3" w:rsidP="006349C3">
      <w:pPr>
        <w:jc w:val="both"/>
        <w:rPr>
          <w:rFonts w:cs="Arial"/>
          <w:szCs w:val="22"/>
        </w:rPr>
      </w:pP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  <w:r w:rsidRPr="00605A96">
        <w:rPr>
          <w:rFonts w:cs="Arial"/>
          <w:szCs w:val="22"/>
        </w:rPr>
        <w:tab/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Форма 7</w:t>
      </w:r>
      <w:r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735EAF">
      <w:headerReference w:type="default" r:id="rId13"/>
      <w:headerReference w:type="first" r:id="rId14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36B6" w:rsidRDefault="00D336B6">
      <w:r>
        <w:separator/>
      </w:r>
    </w:p>
  </w:endnote>
  <w:endnote w:type="continuationSeparator" w:id="0">
    <w:p w:rsidR="00D336B6" w:rsidRDefault="00D33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36B6" w:rsidRDefault="00D336B6">
      <w:r>
        <w:separator/>
      </w:r>
    </w:p>
  </w:footnote>
  <w:footnote w:type="continuationSeparator" w:id="0">
    <w:p w:rsidR="00D336B6" w:rsidRDefault="00D336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0445CC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6E3B72"/>
    <w:multiLevelType w:val="hybridMultilevel"/>
    <w:tmpl w:val="76C2566C"/>
    <w:lvl w:ilvl="0" w:tplc="0419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5BC1F25"/>
    <w:multiLevelType w:val="hybridMultilevel"/>
    <w:tmpl w:val="1F0A48E8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09606136"/>
    <w:multiLevelType w:val="hybridMultilevel"/>
    <w:tmpl w:val="65F616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6">
    <w:nsid w:val="120A3DB9"/>
    <w:multiLevelType w:val="hybridMultilevel"/>
    <w:tmpl w:val="405A3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23786AC5"/>
    <w:multiLevelType w:val="multilevel"/>
    <w:tmpl w:val="87DECF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0C64D06"/>
    <w:multiLevelType w:val="hybridMultilevel"/>
    <w:tmpl w:val="C57E29A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6994E82E">
      <w:start w:val="5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311A737A"/>
    <w:multiLevelType w:val="hybridMultilevel"/>
    <w:tmpl w:val="B948A83A"/>
    <w:lvl w:ilvl="0" w:tplc="C15673A8">
      <w:start w:val="1"/>
      <w:numFmt w:val="decimal"/>
      <w:lvlText w:val="4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3B4A3E24"/>
    <w:multiLevelType w:val="hybridMultilevel"/>
    <w:tmpl w:val="85629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4E2E5B"/>
    <w:multiLevelType w:val="multilevel"/>
    <w:tmpl w:val="C5640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AFB526F"/>
    <w:multiLevelType w:val="multilevel"/>
    <w:tmpl w:val="90E8BBA8"/>
    <w:lvl w:ilvl="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F1E491F"/>
    <w:multiLevelType w:val="multilevel"/>
    <w:tmpl w:val="BA00143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8104951"/>
    <w:multiLevelType w:val="multilevel"/>
    <w:tmpl w:val="B5286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22"/>
  </w:num>
  <w:num w:numId="4">
    <w:abstractNumId w:val="14"/>
  </w:num>
  <w:num w:numId="5">
    <w:abstractNumId w:val="17"/>
  </w:num>
  <w:num w:numId="6">
    <w:abstractNumId w:val="24"/>
  </w:num>
  <w:num w:numId="7">
    <w:abstractNumId w:val="2"/>
  </w:num>
  <w:num w:numId="8">
    <w:abstractNumId w:val="8"/>
  </w:num>
  <w:num w:numId="9">
    <w:abstractNumId w:val="19"/>
  </w:num>
  <w:num w:numId="10">
    <w:abstractNumId w:val="9"/>
  </w:num>
  <w:num w:numId="11">
    <w:abstractNumId w:val="23"/>
  </w:num>
  <w:num w:numId="12">
    <w:abstractNumId w:val="7"/>
  </w:num>
  <w:num w:numId="13">
    <w:abstractNumId w:val="20"/>
  </w:num>
  <w:num w:numId="14">
    <w:abstractNumId w:val="6"/>
  </w:num>
  <w:num w:numId="15">
    <w:abstractNumId w:val="16"/>
  </w:num>
  <w:num w:numId="16">
    <w:abstractNumId w:val="18"/>
  </w:num>
  <w:num w:numId="17">
    <w:abstractNumId w:val="3"/>
  </w:num>
  <w:num w:numId="18">
    <w:abstractNumId w:val="4"/>
  </w:num>
  <w:num w:numId="19">
    <w:abstractNumId w:val="13"/>
  </w:num>
  <w:num w:numId="20">
    <w:abstractNumId w:val="21"/>
  </w:num>
  <w:num w:numId="21">
    <w:abstractNumId w:val="1"/>
  </w:num>
  <w:num w:numId="22">
    <w:abstractNumId w:val="0"/>
    <w:lvlOverride w:ilvl="0">
      <w:lvl w:ilvl="0">
        <w:numFmt w:val="bullet"/>
        <w:lvlText w:val="-"/>
        <w:legacy w:legacy="1" w:legacySpace="0" w:legacyIndent="1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3">
    <w:abstractNumId w:val="12"/>
  </w:num>
  <w:num w:numId="24">
    <w:abstractNumId w:val="25"/>
  </w:num>
  <w:num w:numId="25">
    <w:abstractNumId w:val="10"/>
  </w:num>
  <w:num w:numId="26">
    <w:abstractNumId w:val="1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152D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AAD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692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F77"/>
    <w:rsid w:val="003F6226"/>
    <w:rsid w:val="003F73DC"/>
    <w:rsid w:val="0040017A"/>
    <w:rsid w:val="004001D3"/>
    <w:rsid w:val="00400B0F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3A59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BB6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4DF8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436F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36B6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0D3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342A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22A8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9B0"/>
    <w:rsid w:val="00E80B4A"/>
    <w:rsid w:val="00E81479"/>
    <w:rsid w:val="00E819D0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0628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4A33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3D6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6342A"/>
    <w:rPr>
      <w:sz w:val="24"/>
      <w:szCs w:val="24"/>
    </w:rPr>
  </w:style>
  <w:style w:type="paragraph" w:styleId="1">
    <w:name w:val="heading 1"/>
    <w:basedOn w:val="a8"/>
    <w:next w:val="a8"/>
    <w:qFormat/>
    <w:rsid w:val="00051A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051AA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051AAD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051AAD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051AAD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051AAD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051AA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051AAD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051AAD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051AAD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051AAD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051AAD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051AAD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051AAD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051AAD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051AAD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051AAD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051AAD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051AAD"/>
    <w:pPr>
      <w:ind w:left="1920"/>
    </w:pPr>
    <w:rPr>
      <w:szCs w:val="21"/>
    </w:rPr>
  </w:style>
  <w:style w:type="paragraph" w:styleId="af1">
    <w:name w:val="Subtitle"/>
    <w:basedOn w:val="a8"/>
    <w:qFormat/>
    <w:rsid w:val="00051AAD"/>
    <w:pPr>
      <w:jc w:val="center"/>
    </w:pPr>
    <w:rPr>
      <w:b/>
      <w:bCs/>
    </w:rPr>
  </w:style>
  <w:style w:type="paragraph" w:styleId="af2">
    <w:name w:val="header"/>
    <w:basedOn w:val="a8"/>
    <w:rsid w:val="00051AAD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051AAD"/>
    <w:pPr>
      <w:ind w:left="708"/>
    </w:pPr>
  </w:style>
  <w:style w:type="paragraph" w:styleId="21">
    <w:name w:val="Body Text Indent 2"/>
    <w:basedOn w:val="a8"/>
    <w:rsid w:val="00051AAD"/>
    <w:pPr>
      <w:ind w:left="360"/>
    </w:pPr>
  </w:style>
  <w:style w:type="paragraph" w:styleId="31">
    <w:name w:val="Body Text Indent 3"/>
    <w:basedOn w:val="a8"/>
    <w:rsid w:val="00051AAD"/>
    <w:pPr>
      <w:ind w:left="540"/>
    </w:pPr>
  </w:style>
  <w:style w:type="paragraph" w:customStyle="1" w:styleId="a1">
    <w:name w:val="Пункт"/>
    <w:basedOn w:val="a8"/>
    <w:rsid w:val="00051AAD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051AAD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051AAD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051AAD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051AAD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051AAD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051AAD"/>
    <w:rPr>
      <w:color w:val="0000FF"/>
      <w:u w:val="single"/>
    </w:rPr>
  </w:style>
  <w:style w:type="paragraph" w:customStyle="1" w:styleId="11">
    <w:name w:val="Обычный1"/>
    <w:rsid w:val="00051AAD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051AAD"/>
    <w:pPr>
      <w:ind w:left="240" w:hanging="240"/>
    </w:pPr>
  </w:style>
  <w:style w:type="paragraph" w:styleId="22">
    <w:name w:val="index 2"/>
    <w:basedOn w:val="a8"/>
    <w:next w:val="a8"/>
    <w:autoRedefine/>
    <w:semiHidden/>
    <w:rsid w:val="00051AAD"/>
    <w:pPr>
      <w:ind w:left="480" w:hanging="240"/>
    </w:pPr>
  </w:style>
  <w:style w:type="paragraph" w:styleId="32">
    <w:name w:val="index 3"/>
    <w:basedOn w:val="a8"/>
    <w:next w:val="a8"/>
    <w:autoRedefine/>
    <w:semiHidden/>
    <w:rsid w:val="00051AAD"/>
    <w:pPr>
      <w:ind w:left="720" w:hanging="240"/>
    </w:pPr>
  </w:style>
  <w:style w:type="paragraph" w:styleId="41">
    <w:name w:val="index 4"/>
    <w:basedOn w:val="a8"/>
    <w:next w:val="a8"/>
    <w:autoRedefine/>
    <w:semiHidden/>
    <w:rsid w:val="00051AAD"/>
    <w:pPr>
      <w:ind w:left="960" w:hanging="240"/>
    </w:pPr>
  </w:style>
  <w:style w:type="paragraph" w:styleId="51">
    <w:name w:val="index 5"/>
    <w:basedOn w:val="a8"/>
    <w:next w:val="a8"/>
    <w:autoRedefine/>
    <w:semiHidden/>
    <w:rsid w:val="00051AAD"/>
    <w:pPr>
      <w:ind w:left="1200" w:hanging="240"/>
    </w:pPr>
  </w:style>
  <w:style w:type="paragraph" w:styleId="61">
    <w:name w:val="index 6"/>
    <w:basedOn w:val="a8"/>
    <w:next w:val="a8"/>
    <w:autoRedefine/>
    <w:semiHidden/>
    <w:rsid w:val="00051AAD"/>
    <w:pPr>
      <w:ind w:left="1440" w:hanging="240"/>
    </w:pPr>
  </w:style>
  <w:style w:type="paragraph" w:styleId="71">
    <w:name w:val="index 7"/>
    <w:basedOn w:val="a8"/>
    <w:next w:val="a8"/>
    <w:autoRedefine/>
    <w:semiHidden/>
    <w:rsid w:val="00051AAD"/>
    <w:pPr>
      <w:ind w:left="1680" w:hanging="240"/>
    </w:pPr>
  </w:style>
  <w:style w:type="paragraph" w:styleId="81">
    <w:name w:val="index 8"/>
    <w:basedOn w:val="a8"/>
    <w:next w:val="a8"/>
    <w:autoRedefine/>
    <w:semiHidden/>
    <w:rsid w:val="00051AAD"/>
    <w:pPr>
      <w:ind w:left="1920" w:hanging="240"/>
    </w:pPr>
  </w:style>
  <w:style w:type="paragraph" w:styleId="91">
    <w:name w:val="index 9"/>
    <w:basedOn w:val="a8"/>
    <w:next w:val="a8"/>
    <w:autoRedefine/>
    <w:semiHidden/>
    <w:rsid w:val="00051AAD"/>
    <w:pPr>
      <w:ind w:left="2160" w:hanging="240"/>
    </w:pPr>
  </w:style>
  <w:style w:type="paragraph" w:styleId="af5">
    <w:name w:val="index heading"/>
    <w:basedOn w:val="a8"/>
    <w:next w:val="12"/>
    <w:semiHidden/>
    <w:rsid w:val="00051AAD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051AAD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051AAD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051AAD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051AAD"/>
    <w:rPr>
      <w:sz w:val="20"/>
      <w:szCs w:val="20"/>
    </w:rPr>
  </w:style>
  <w:style w:type="paragraph" w:styleId="afa">
    <w:name w:val="annotation subject"/>
    <w:basedOn w:val="af8"/>
    <w:next w:val="af8"/>
    <w:semiHidden/>
    <w:rsid w:val="00051AAD"/>
    <w:rPr>
      <w:b/>
      <w:bCs/>
    </w:rPr>
  </w:style>
  <w:style w:type="paragraph" w:styleId="afb">
    <w:name w:val="Normal (Web)"/>
    <w:basedOn w:val="a8"/>
    <w:rsid w:val="00051AAD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051AAD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051AAD"/>
    <w:rPr>
      <w:b/>
      <w:bCs/>
    </w:rPr>
  </w:style>
  <w:style w:type="paragraph" w:styleId="afd">
    <w:name w:val="Body Text"/>
    <w:basedOn w:val="a8"/>
    <w:rsid w:val="00051AAD"/>
    <w:pPr>
      <w:spacing w:after="120"/>
    </w:pPr>
  </w:style>
  <w:style w:type="paragraph" w:styleId="afe">
    <w:name w:val="Block Text"/>
    <w:basedOn w:val="a8"/>
    <w:rsid w:val="00051AAD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051AAD"/>
    <w:rPr>
      <w:sz w:val="22"/>
      <w:szCs w:val="20"/>
    </w:rPr>
  </w:style>
  <w:style w:type="paragraph" w:styleId="33">
    <w:name w:val="Body Text 3"/>
    <w:basedOn w:val="a8"/>
    <w:rsid w:val="00051AAD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051AAD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051AAD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051AAD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051AAD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051AAD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sid w:val="00051AAD"/>
    <w:rPr>
      <w:color w:val="800080"/>
      <w:u w:val="single"/>
    </w:rPr>
  </w:style>
  <w:style w:type="paragraph" w:customStyle="1" w:styleId="rvps31451">
    <w:name w:val="rvps31451"/>
    <w:basedOn w:val="a8"/>
    <w:rsid w:val="00051AAD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051AAD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051AAD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  <w:rsid w:val="00051AAD"/>
  </w:style>
  <w:style w:type="paragraph" w:customStyle="1" w:styleId="a">
    <w:name w:val="Стиль заголовок"/>
    <w:basedOn w:val="a8"/>
    <w:rsid w:val="00051AAD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051AAD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a">
    <w:name w:val="Буллит Знак"/>
    <w:link w:val="a6"/>
    <w:rsid w:val="0080164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ttauTV@mng.slavneft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velevaNV@mng.slavneft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30201-04F4-44A4-8D91-EDCA1E0BD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2321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15526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26</cp:revision>
  <cp:lastPrinted>2014-10-31T03:46:00Z</cp:lastPrinted>
  <dcterms:created xsi:type="dcterms:W3CDTF">2014-09-23T09:09:00Z</dcterms:created>
  <dcterms:modified xsi:type="dcterms:W3CDTF">2014-11-13T10:34:00Z</dcterms:modified>
</cp:coreProperties>
</file>