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D74B9C" w:rsidRPr="00D74B9C">
        <w:rPr>
          <w:rFonts w:ascii="Times New Roman" w:hAnsi="Times New Roman"/>
          <w:sz w:val="24"/>
        </w:rPr>
        <w:t>Северо-Покурское месторождение</w:t>
      </w:r>
    </w:p>
    <w:p w:rsidR="00D575FF" w:rsidRDefault="00A76A36" w:rsidP="00A76A36">
      <w:pPr>
        <w:widowControl w:val="0"/>
        <w:autoSpaceDE w:val="0"/>
        <w:autoSpaceDN w:val="0"/>
        <w:adjustRightInd w:val="0"/>
        <w:spacing w:line="300" w:lineRule="auto"/>
        <w:ind w:firstLine="709"/>
        <w:jc w:val="both"/>
        <w:rPr>
          <w:rFonts w:ascii="Times New Roman" w:hAnsi="Times New Roman"/>
          <w:b/>
          <w:bCs/>
          <w:sz w:val="24"/>
        </w:rPr>
      </w:pPr>
      <w:r w:rsidRPr="00D910D6">
        <w:rPr>
          <w:rFonts w:ascii="Times New Roman" w:hAnsi="Times New Roman"/>
          <w:b/>
          <w:bCs/>
          <w:sz w:val="24"/>
        </w:rPr>
        <w:t xml:space="preserve">«Объект» - </w:t>
      </w:r>
      <w:r w:rsidR="00D74B9C" w:rsidRPr="00D74B9C">
        <w:rPr>
          <w:rFonts w:ascii="Times New Roman" w:hAnsi="Times New Roman"/>
          <w:bCs/>
          <w:sz w:val="24"/>
        </w:rPr>
        <w:t>ГЗУ (Спутник) к.62 Инвентарный № 140000010371</w:t>
      </w:r>
    </w:p>
    <w:p w:rsidR="00D74B9C" w:rsidRPr="00D910D6" w:rsidRDefault="00D74B9C" w:rsidP="00D74B9C">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Pr="00D74B9C">
        <w:rPr>
          <w:rFonts w:ascii="Times New Roman" w:hAnsi="Times New Roman"/>
          <w:sz w:val="24"/>
        </w:rPr>
        <w:t>Северо-Покурское месторождение</w:t>
      </w:r>
    </w:p>
    <w:p w:rsidR="00D74B9C" w:rsidRDefault="00D74B9C" w:rsidP="00D74B9C">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Pr="00D74B9C">
        <w:rPr>
          <w:rFonts w:ascii="Times New Roman" w:hAnsi="Times New Roman"/>
          <w:bCs/>
          <w:sz w:val="24"/>
        </w:rPr>
        <w:t>ГЗУ "Спутник" к.38 Инвентарный № 140000010505</w:t>
      </w:r>
    </w:p>
    <w:p w:rsidR="00D74B9C" w:rsidRPr="00D910D6" w:rsidRDefault="00D74B9C" w:rsidP="00D74B9C">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Pr="00D74B9C">
        <w:rPr>
          <w:rFonts w:ascii="Times New Roman" w:hAnsi="Times New Roman"/>
          <w:sz w:val="24"/>
        </w:rPr>
        <w:t>Ватинское месторождение</w:t>
      </w:r>
    </w:p>
    <w:p w:rsidR="00D74B9C" w:rsidRDefault="00D74B9C" w:rsidP="00D74B9C">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Pr="00D74B9C">
        <w:rPr>
          <w:rFonts w:ascii="Times New Roman" w:hAnsi="Times New Roman"/>
          <w:bCs/>
          <w:sz w:val="24"/>
        </w:rPr>
        <w:t>З.У.Спутник к.125 (с ПКУ) Инвентарный № 140000009681</w:t>
      </w:r>
    </w:p>
    <w:p w:rsidR="00D74B9C" w:rsidRPr="00D910D6" w:rsidRDefault="00D74B9C" w:rsidP="00D74B9C">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Pr="00D74B9C">
        <w:rPr>
          <w:rFonts w:ascii="Times New Roman" w:hAnsi="Times New Roman"/>
          <w:sz w:val="24"/>
        </w:rPr>
        <w:t>Ватинское месторождение</w:t>
      </w:r>
    </w:p>
    <w:p w:rsidR="00D74B9C" w:rsidRDefault="00D74B9C" w:rsidP="00D74B9C">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Pr="00D74B9C">
        <w:rPr>
          <w:rFonts w:ascii="Times New Roman" w:hAnsi="Times New Roman"/>
          <w:bCs/>
          <w:sz w:val="24"/>
        </w:rPr>
        <w:t>Спутник АМ-40-8-400 к- 18 Инвентарный № 140000010160</w:t>
      </w:r>
    </w:p>
    <w:p w:rsidR="00D74B9C" w:rsidRPr="00D910D6" w:rsidRDefault="00D74B9C" w:rsidP="00D74B9C">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Pr="00D74B9C">
        <w:rPr>
          <w:rFonts w:ascii="Times New Roman" w:hAnsi="Times New Roman"/>
          <w:sz w:val="24"/>
        </w:rPr>
        <w:t>Ватинское месторождение</w:t>
      </w:r>
    </w:p>
    <w:p w:rsidR="00D74B9C" w:rsidRDefault="00D74B9C" w:rsidP="00D74B9C">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Pr="00D74B9C">
        <w:rPr>
          <w:rFonts w:ascii="Times New Roman" w:hAnsi="Times New Roman"/>
          <w:bCs/>
          <w:sz w:val="24"/>
        </w:rPr>
        <w:t>Спутник АМ 40/8 к.194 Инвентарный № 140000010121</w:t>
      </w:r>
    </w:p>
    <w:p w:rsidR="00D74B9C" w:rsidRPr="00D910D6" w:rsidRDefault="00D74B9C" w:rsidP="00D74B9C">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Pr="00D74B9C">
        <w:rPr>
          <w:rFonts w:ascii="Times New Roman" w:hAnsi="Times New Roman"/>
          <w:sz w:val="24"/>
        </w:rPr>
        <w:t>Ватинское месторождение</w:t>
      </w:r>
    </w:p>
    <w:p w:rsidR="00D74B9C" w:rsidRDefault="00D74B9C" w:rsidP="00D74B9C">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Pr="00D74B9C">
        <w:rPr>
          <w:rFonts w:ascii="Times New Roman" w:hAnsi="Times New Roman"/>
          <w:bCs/>
          <w:sz w:val="24"/>
        </w:rPr>
        <w:t>Спутник с БМА к-127 Инвентарный № 140000009670</w:t>
      </w:r>
    </w:p>
    <w:p w:rsidR="00F42D18" w:rsidRPr="00A3355F" w:rsidRDefault="000A51C7"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lastRenderedPageBreak/>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w:t>
      </w:r>
      <w:r w:rsidRPr="00A3355F">
        <w:rPr>
          <w:rFonts w:ascii="Times New Roman" w:hAnsi="Times New Roman"/>
          <w:sz w:val="24"/>
        </w:rPr>
        <w:lastRenderedPageBreak/>
        <w:t>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w:t>
      </w:r>
      <w:r w:rsidRPr="00A3355F">
        <w:rPr>
          <w:rFonts w:ascii="Times New Roman" w:hAnsi="Times New Roman"/>
          <w:sz w:val="24"/>
        </w:rPr>
        <w:lastRenderedPageBreak/>
        <w:t>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747C5" w:rsidRDefault="00F42D18" w:rsidP="00D74B9C">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w:t>
      </w:r>
      <w:r w:rsidRPr="00A3355F">
        <w:rPr>
          <w:rFonts w:ascii="Times New Roman" w:hAnsi="Times New Roman"/>
          <w:sz w:val="24"/>
        </w:rPr>
        <w:lastRenderedPageBreak/>
        <w:t xml:space="preserve">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E747C5">
        <w:rPr>
          <w:rFonts w:ascii="Times New Roman" w:hAnsi="Times New Roman"/>
          <w:bCs/>
          <w:sz w:val="24"/>
        </w:rPr>
        <w:t xml:space="preserve"> </w:t>
      </w:r>
      <w:r w:rsidR="00D74B9C" w:rsidRPr="00D74B9C">
        <w:rPr>
          <w:rFonts w:ascii="Times New Roman" w:hAnsi="Times New Roman"/>
          <w:bCs/>
          <w:sz w:val="24"/>
        </w:rPr>
        <w:t>ГЗУ (Спутник) к.62 Инвентарный № 140000010371</w:t>
      </w:r>
      <w:r w:rsidR="00D74B9C">
        <w:rPr>
          <w:rFonts w:ascii="Times New Roman" w:hAnsi="Times New Roman"/>
          <w:b/>
          <w:sz w:val="24"/>
        </w:rPr>
        <w:t xml:space="preserve">; </w:t>
      </w:r>
      <w:r w:rsidR="00D74B9C" w:rsidRPr="00D74B9C">
        <w:rPr>
          <w:rFonts w:ascii="Times New Roman" w:hAnsi="Times New Roman"/>
          <w:bCs/>
          <w:sz w:val="24"/>
        </w:rPr>
        <w:t>ГЗУ "Спутник" к.38 Инвентарный № 140000010505</w:t>
      </w:r>
      <w:r w:rsidR="00D74B9C">
        <w:rPr>
          <w:rFonts w:ascii="Times New Roman" w:hAnsi="Times New Roman"/>
          <w:bCs/>
          <w:sz w:val="24"/>
        </w:rPr>
        <w:t xml:space="preserve">; </w:t>
      </w:r>
      <w:r w:rsidR="00D74B9C" w:rsidRPr="00D910D6">
        <w:rPr>
          <w:rFonts w:ascii="Times New Roman" w:hAnsi="Times New Roman"/>
          <w:b/>
          <w:bCs/>
          <w:sz w:val="24"/>
        </w:rPr>
        <w:t xml:space="preserve"> </w:t>
      </w:r>
      <w:r w:rsidR="00D74B9C" w:rsidRPr="00D74B9C">
        <w:rPr>
          <w:rFonts w:ascii="Times New Roman" w:hAnsi="Times New Roman"/>
          <w:bCs/>
          <w:sz w:val="24"/>
        </w:rPr>
        <w:t>З.У.Спутник к.125 (с ПКУ) Инвентарный № 140000009681</w:t>
      </w:r>
      <w:r w:rsidR="00D74B9C">
        <w:rPr>
          <w:rFonts w:ascii="Times New Roman" w:hAnsi="Times New Roman"/>
          <w:b/>
          <w:sz w:val="24"/>
        </w:rPr>
        <w:t xml:space="preserve">; </w:t>
      </w:r>
      <w:r w:rsidR="00D74B9C" w:rsidRPr="00D74B9C">
        <w:rPr>
          <w:rFonts w:ascii="Times New Roman" w:hAnsi="Times New Roman"/>
          <w:bCs/>
          <w:sz w:val="24"/>
        </w:rPr>
        <w:t>Спутник АМ-40-8-400 к- 18 Инвентарный № 140000010160</w:t>
      </w:r>
      <w:r w:rsidR="00D74B9C">
        <w:rPr>
          <w:rFonts w:ascii="Times New Roman" w:hAnsi="Times New Roman"/>
          <w:b/>
          <w:sz w:val="24"/>
        </w:rPr>
        <w:t xml:space="preserve">; </w:t>
      </w:r>
      <w:r w:rsidR="00D74B9C" w:rsidRPr="00D74B9C">
        <w:rPr>
          <w:rFonts w:ascii="Times New Roman" w:hAnsi="Times New Roman"/>
          <w:bCs/>
          <w:sz w:val="24"/>
        </w:rPr>
        <w:t>Спутник АМ 40/8 к.194 Инвентарный № 140000010121</w:t>
      </w:r>
      <w:r w:rsidR="00D74B9C">
        <w:rPr>
          <w:rFonts w:ascii="Times New Roman" w:hAnsi="Times New Roman"/>
          <w:bCs/>
          <w:sz w:val="24"/>
        </w:rPr>
        <w:t xml:space="preserve">; </w:t>
      </w:r>
      <w:r w:rsidR="00D74B9C" w:rsidRPr="00D910D6">
        <w:rPr>
          <w:rFonts w:ascii="Times New Roman" w:hAnsi="Times New Roman"/>
          <w:b/>
          <w:bCs/>
          <w:sz w:val="24"/>
        </w:rPr>
        <w:t xml:space="preserve"> </w:t>
      </w:r>
      <w:r w:rsidR="00D74B9C" w:rsidRPr="00D74B9C">
        <w:rPr>
          <w:rFonts w:ascii="Times New Roman" w:hAnsi="Times New Roman"/>
          <w:bCs/>
          <w:sz w:val="24"/>
        </w:rPr>
        <w:t>Спутник с БМА к-127 Инвентарный № 140</w:t>
      </w:r>
      <w:bookmarkStart w:id="0" w:name="_GoBack"/>
      <w:bookmarkEnd w:id="0"/>
      <w:r w:rsidR="00D74B9C" w:rsidRPr="00D74B9C">
        <w:rPr>
          <w:rFonts w:ascii="Times New Roman" w:hAnsi="Times New Roman"/>
          <w:bCs/>
          <w:sz w:val="24"/>
        </w:rPr>
        <w:t>000009670</w:t>
      </w:r>
      <w:r w:rsidR="005D6048">
        <w:rPr>
          <w:rFonts w:ascii="Times New Roman" w:hAnsi="Times New Roman"/>
          <w:bCs/>
          <w:sz w:val="24"/>
        </w:rPr>
        <w:t>.</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w:t>
      </w:r>
      <w:r w:rsidRPr="00A3355F">
        <w:rPr>
          <w:rFonts w:ascii="Times New Roman" w:hAnsi="Times New Roman"/>
          <w:sz w:val="24"/>
        </w:rPr>
        <w:lastRenderedPageBreak/>
        <w:t xml:space="preserve">№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w:t>
      </w:r>
      <w:r w:rsidRPr="00A3355F">
        <w:rPr>
          <w:rFonts w:ascii="Times New Roman" w:hAnsi="Times New Roman"/>
          <w:sz w:val="24"/>
        </w:rPr>
        <w:lastRenderedPageBreak/>
        <w:t>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A3355F">
        <w:rPr>
          <w:rFonts w:ascii="Times New Roman" w:hAnsi="Times New Roman"/>
          <w:sz w:val="24"/>
          <w:lang w:eastAsia="en-US"/>
        </w:rPr>
        <w:lastRenderedPageBreak/>
        <w:t>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xml:space="preserve">.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w:t>
      </w:r>
      <w:r w:rsidRPr="00A3355F">
        <w:rPr>
          <w:rFonts w:ascii="Times New Roman" w:hAnsi="Times New Roman"/>
          <w:sz w:val="24"/>
        </w:rPr>
        <w:lastRenderedPageBreak/>
        <w:t>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w:t>
      </w:r>
      <w:r w:rsidR="00D910D6">
        <w:rPr>
          <w:rFonts w:ascii="Times New Roman" w:hAnsi="Times New Roman"/>
          <w:sz w:val="24"/>
        </w:rPr>
        <w:t>контроля закупочных процедур</w:t>
      </w:r>
      <w:r w:rsidRPr="00967CF3">
        <w:rPr>
          <w:rFonts w:ascii="Times New Roman" w:hAnsi="Times New Roman"/>
          <w:sz w:val="24"/>
        </w:rPr>
        <w:t>.</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w:t>
      </w:r>
      <w:r w:rsidRPr="00A3355F">
        <w:rPr>
          <w:rFonts w:ascii="Times New Roman" w:hAnsi="Times New Roman"/>
          <w:sz w:val="24"/>
        </w:rPr>
        <w:lastRenderedPageBreak/>
        <w:t>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 xml:space="preserve">Правилами охраны линий связи и сооружений связи РФ, утвержденными Постановлением </w:t>
      </w:r>
      <w:r w:rsidRPr="009B08BE">
        <w:rPr>
          <w:rFonts w:ascii="Times New Roman" w:hAnsi="Times New Roman"/>
          <w:sz w:val="24"/>
        </w:rPr>
        <w:lastRenderedPageBreak/>
        <w:t>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xml:space="preserve">. Начинает производство работ на объекте не позднее 3 (трех) календарных дней </w:t>
      </w:r>
      <w:r w:rsidRPr="00A3355F">
        <w:rPr>
          <w:rFonts w:ascii="Times New Roman" w:hAnsi="Times New Roman"/>
          <w:sz w:val="24"/>
        </w:rPr>
        <w:lastRenderedPageBreak/>
        <w:t>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w:t>
      </w:r>
      <w:r w:rsidRPr="00A3355F">
        <w:rPr>
          <w:rFonts w:ascii="Times New Roman" w:hAnsi="Times New Roman"/>
          <w:bCs/>
          <w:snapToGrid w:val="0"/>
          <w:color w:val="000000"/>
          <w:sz w:val="24"/>
        </w:rPr>
        <w:lastRenderedPageBreak/>
        <w:t>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w:t>
      </w:r>
      <w:r w:rsidRPr="00A3355F">
        <w:rPr>
          <w:rFonts w:ascii="Times New Roman" w:hAnsi="Times New Roman"/>
          <w:sz w:val="24"/>
        </w:rPr>
        <w:lastRenderedPageBreak/>
        <w:t>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lastRenderedPageBreak/>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5.2.10. Обеспечивает проведение вводного инструктажа по месту производства работ на </w:t>
      </w:r>
      <w:r w:rsidRPr="00C7260F">
        <w:rPr>
          <w:rFonts w:ascii="Times New Roman" w:hAnsi="Times New Roman"/>
          <w:sz w:val="24"/>
        </w:rPr>
        <w:lastRenderedPageBreak/>
        <w:t>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 xml:space="preserve">В случае если Заказчик устраняет за свой счет недостатки некачественно выполненных </w:t>
      </w:r>
      <w:r w:rsidRPr="001352B0">
        <w:rPr>
          <w:rFonts w:ascii="Times New Roman" w:hAnsi="Times New Roman"/>
          <w:bCs/>
          <w:sz w:val="24"/>
        </w:rPr>
        <w:lastRenderedPageBreak/>
        <w:t>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w:t>
      </w:r>
      <w:r w:rsidRPr="00A3355F">
        <w:rPr>
          <w:rFonts w:ascii="Times New Roman" w:hAnsi="Times New Roman"/>
          <w:sz w:val="24"/>
        </w:rPr>
        <w:lastRenderedPageBreak/>
        <w:t>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lastRenderedPageBreak/>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проверка соблюдения последовательности и состава технологических операций при </w:t>
      </w:r>
      <w:r w:rsidRPr="00A3355F">
        <w:rPr>
          <w:rFonts w:ascii="Times New Roman" w:hAnsi="Times New Roman"/>
          <w:sz w:val="24"/>
        </w:rPr>
        <w:lastRenderedPageBreak/>
        <w:t>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xml:space="preserve">. 5.1.46., последний уплачивает Заказчику штраф в размере 1 % (одного процента) от суммы, подлежащей оплате по счет – фактуре за каждый такой случай, в месячный </w:t>
      </w:r>
      <w:r w:rsidRPr="001352B0">
        <w:rPr>
          <w:rFonts w:ascii="Times New Roman" w:hAnsi="Times New Roman"/>
          <w:sz w:val="24"/>
        </w:rPr>
        <w:lastRenderedPageBreak/>
        <w:t>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 xml:space="preserve">от подписания акта, подтверждающего факт </w:t>
      </w:r>
      <w:r w:rsidRPr="00A3355F">
        <w:rPr>
          <w:rFonts w:ascii="Times New Roman" w:hAnsi="Times New Roman"/>
          <w:sz w:val="24"/>
        </w:rPr>
        <w:lastRenderedPageBreak/>
        <w:t>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w:t>
      </w:r>
      <w:r w:rsidRPr="00A3355F">
        <w:rPr>
          <w:rFonts w:ascii="Times New Roman" w:hAnsi="Times New Roman"/>
          <w:sz w:val="24"/>
        </w:rPr>
        <w:lastRenderedPageBreak/>
        <w:t xml:space="preserve">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w:t>
      </w:r>
      <w:r w:rsidRPr="00A3355F">
        <w:rPr>
          <w:rFonts w:ascii="Times New Roman" w:hAnsi="Times New Roman"/>
          <w:sz w:val="24"/>
        </w:rPr>
        <w:lastRenderedPageBreak/>
        <w:t>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w:t>
      </w:r>
      <w:r w:rsidRPr="00A3355F">
        <w:rPr>
          <w:rFonts w:ascii="Times New Roman" w:hAnsi="Times New Roman"/>
          <w:sz w:val="24"/>
        </w:rPr>
        <w:lastRenderedPageBreak/>
        <w:t xml:space="preserve">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lastRenderedPageBreak/>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lastRenderedPageBreak/>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w:t>
      </w:r>
      <w:r w:rsidRPr="003351E3">
        <w:rPr>
          <w:rFonts w:ascii="Times New Roman" w:hAnsi="Times New Roman"/>
          <w:sz w:val="24"/>
        </w:rPr>
        <w:lastRenderedPageBreak/>
        <w:t xml:space="preserve">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 xml:space="preserve">12.2. В случае невозможности разрешения возникших разногласий и споров путем </w:t>
      </w:r>
      <w:r w:rsidRPr="00A3355F">
        <w:rPr>
          <w:rFonts w:ascii="Times New Roman" w:hAnsi="Times New Roman"/>
          <w:sz w:val="24"/>
        </w:rPr>
        <w:lastRenderedPageBreak/>
        <w:t>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lastRenderedPageBreak/>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DCF" w:rsidRDefault="00C24DCF">
      <w:r>
        <w:separator/>
      </w:r>
    </w:p>
  </w:endnote>
  <w:endnote w:type="continuationSeparator" w:id="0">
    <w:p w:rsidR="00C24DCF" w:rsidRDefault="00C24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74B9C">
      <w:rPr>
        <w:rStyle w:val="ae"/>
        <w:noProof/>
      </w:rPr>
      <w:t>13</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DCF" w:rsidRDefault="00C24DCF">
      <w:r>
        <w:separator/>
      </w:r>
    </w:p>
  </w:footnote>
  <w:footnote w:type="continuationSeparator" w:id="0">
    <w:p w:rsidR="00C24DCF" w:rsidRDefault="00C24D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51C7"/>
    <w:rsid w:val="000A7BA5"/>
    <w:rsid w:val="000E104B"/>
    <w:rsid w:val="00125A22"/>
    <w:rsid w:val="001352B0"/>
    <w:rsid w:val="001A42F1"/>
    <w:rsid w:val="001B5570"/>
    <w:rsid w:val="001D348F"/>
    <w:rsid w:val="001E676D"/>
    <w:rsid w:val="00211CA4"/>
    <w:rsid w:val="002120B2"/>
    <w:rsid w:val="00232C32"/>
    <w:rsid w:val="002D027F"/>
    <w:rsid w:val="003143CA"/>
    <w:rsid w:val="0032254D"/>
    <w:rsid w:val="003351E3"/>
    <w:rsid w:val="0033613F"/>
    <w:rsid w:val="00381B78"/>
    <w:rsid w:val="00392368"/>
    <w:rsid w:val="003C58BB"/>
    <w:rsid w:val="003F418B"/>
    <w:rsid w:val="00442FF3"/>
    <w:rsid w:val="00461478"/>
    <w:rsid w:val="004D5260"/>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26D68"/>
    <w:rsid w:val="00837C7F"/>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24DCF"/>
    <w:rsid w:val="00C60302"/>
    <w:rsid w:val="00C67D55"/>
    <w:rsid w:val="00C7260F"/>
    <w:rsid w:val="00CE7972"/>
    <w:rsid w:val="00D013D3"/>
    <w:rsid w:val="00D26A33"/>
    <w:rsid w:val="00D32409"/>
    <w:rsid w:val="00D575FF"/>
    <w:rsid w:val="00D74B9C"/>
    <w:rsid w:val="00D910D6"/>
    <w:rsid w:val="00D9754C"/>
    <w:rsid w:val="00DE1487"/>
    <w:rsid w:val="00DE1907"/>
    <w:rsid w:val="00DE6D55"/>
    <w:rsid w:val="00E23165"/>
    <w:rsid w:val="00E26A1A"/>
    <w:rsid w:val="00E55435"/>
    <w:rsid w:val="00E747C5"/>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16007</Words>
  <Characters>91241</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13</cp:revision>
  <cp:lastPrinted>2016-01-11T05:12:00Z</cp:lastPrinted>
  <dcterms:created xsi:type="dcterms:W3CDTF">2016-03-11T09:21:00Z</dcterms:created>
  <dcterms:modified xsi:type="dcterms:W3CDTF">2016-04-20T09:07:00Z</dcterms:modified>
</cp:coreProperties>
</file>