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3F0003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3F0003" w:rsidRPr="003F0003">
              <w:rPr>
                <w:rFonts w:ascii="Times New Roman" w:hAnsi="Times New Roman"/>
                <w:sz w:val="24"/>
              </w:rPr>
              <w:t>328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3F0003">
              <w:rPr>
                <w:rFonts w:ascii="Times New Roman" w:hAnsi="Times New Roman"/>
                <w:sz w:val="24"/>
                <w:lang w:val="en-US"/>
              </w:rPr>
              <w:t>10</w:t>
            </w:r>
            <w:r>
              <w:rPr>
                <w:rFonts w:ascii="Times New Roman" w:hAnsi="Times New Roman"/>
                <w:sz w:val="24"/>
              </w:rPr>
              <w:t>»</w:t>
            </w:r>
            <w:r w:rsidR="003F000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3F0003">
              <w:rPr>
                <w:rFonts w:ascii="Times New Roman" w:hAnsi="Times New Roman"/>
                <w:sz w:val="24"/>
              </w:rPr>
              <w:t xml:space="preserve">августа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C50722">
        <w:rPr>
          <w:rFonts w:ascii="Times New Roman" w:hAnsi="Times New Roman"/>
          <w:b/>
          <w:sz w:val="24"/>
        </w:rPr>
        <w:t>462</w:t>
      </w:r>
      <w:r w:rsidR="00B0011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</w:t>
      </w:r>
      <w:r w:rsidR="0022055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3F0003">
        <w:rPr>
          <w:rFonts w:ascii="Times New Roman" w:hAnsi="Times New Roman"/>
          <w:b/>
          <w:sz w:val="24"/>
        </w:rPr>
        <w:t>10</w:t>
      </w:r>
      <w:r w:rsidR="00B07852">
        <w:rPr>
          <w:rFonts w:ascii="Times New Roman" w:hAnsi="Times New Roman"/>
          <w:b/>
          <w:sz w:val="24"/>
        </w:rPr>
        <w:t>»</w:t>
      </w:r>
      <w:r w:rsidR="003F0003">
        <w:rPr>
          <w:rFonts w:ascii="Times New Roman" w:hAnsi="Times New Roman"/>
          <w:b/>
          <w:sz w:val="24"/>
        </w:rPr>
        <w:t xml:space="preserve"> августа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</w:t>
      </w:r>
      <w:r w:rsidRPr="000E2CC2">
        <w:rPr>
          <w:rFonts w:ascii="Times New Roman" w:hAnsi="Times New Roman"/>
          <w:b/>
          <w:sz w:val="24"/>
        </w:rPr>
        <w:t xml:space="preserve">на </w:t>
      </w:r>
      <w:r w:rsidR="000E2CC2" w:rsidRPr="000E2CC2">
        <w:rPr>
          <w:rFonts w:ascii="Times New Roman" w:hAnsi="Times New Roman"/>
          <w:b/>
          <w:sz w:val="24"/>
        </w:rPr>
        <w:t>оказание</w:t>
      </w:r>
      <w:r w:rsidR="000E2CC2">
        <w:rPr>
          <w:rFonts w:ascii="Times New Roman" w:hAnsi="Times New Roman"/>
          <w:sz w:val="24"/>
        </w:rPr>
        <w:t xml:space="preserve"> </w:t>
      </w:r>
      <w:r w:rsidR="000E2CC2" w:rsidRPr="00DA3035">
        <w:rPr>
          <w:rFonts w:ascii="Times New Roman" w:hAnsi="Times New Roman"/>
          <w:b/>
          <w:sz w:val="24"/>
        </w:rPr>
        <w:t>услуг по обеспечению трубной и штанговой продукцией</w:t>
      </w:r>
      <w:r w:rsidR="000E2CC2">
        <w:rPr>
          <w:rFonts w:ascii="Times New Roman" w:hAnsi="Times New Roman"/>
          <w:b/>
          <w:sz w:val="24"/>
        </w:rPr>
        <w:t xml:space="preserve"> </w:t>
      </w:r>
      <w:r w:rsidR="000E2CC2" w:rsidRPr="00DA3035">
        <w:rPr>
          <w:rFonts w:ascii="Times New Roman" w:hAnsi="Times New Roman"/>
          <w:b/>
          <w:sz w:val="24"/>
        </w:rPr>
        <w:t>и снабжению дополнительным оборудованием</w:t>
      </w:r>
      <w:r w:rsidR="00B244D0" w:rsidRPr="006042B0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EE683E" w:rsidP="00EE683E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EE683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EE683E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</w:t>
      </w:r>
      <w:r w:rsidR="00D71D86">
        <w:rPr>
          <w:rFonts w:ascii="Times New Roman" w:hAnsi="Times New Roman"/>
          <w:sz w:val="24"/>
        </w:rPr>
        <w:t xml:space="preserve">и офертами со сроком акцепта до </w:t>
      </w:r>
      <w:r w:rsidR="00D71D86" w:rsidRPr="00D71D86">
        <w:rPr>
          <w:rFonts w:ascii="Times New Roman" w:hAnsi="Times New Roman"/>
          <w:b/>
          <w:sz w:val="24"/>
        </w:rPr>
        <w:t>31</w:t>
      </w:r>
      <w:r w:rsidR="006F78FA">
        <w:rPr>
          <w:rFonts w:ascii="Times New Roman" w:hAnsi="Times New Roman"/>
          <w:b/>
          <w:sz w:val="24"/>
        </w:rPr>
        <w:t>.</w:t>
      </w:r>
      <w:r w:rsidR="000E2CC2">
        <w:rPr>
          <w:rFonts w:ascii="Times New Roman" w:hAnsi="Times New Roman"/>
          <w:b/>
          <w:sz w:val="24"/>
        </w:rPr>
        <w:t>12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6F78FA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6F78FA" w:rsidRPr="00A1066B" w:rsidRDefault="006F78FA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</w:t>
      </w:r>
      <w:r>
        <w:rPr>
          <w:rFonts w:ascii="Times New Roman" w:hAnsi="Times New Roman"/>
          <w:bCs/>
          <w:sz w:val="24"/>
        </w:rPr>
        <w:t xml:space="preserve">кой по статьям затрат по Форме </w:t>
      </w:r>
      <w:r w:rsidR="00D325C6">
        <w:rPr>
          <w:rFonts w:ascii="Times New Roman" w:hAnsi="Times New Roman"/>
          <w:bCs/>
          <w:sz w:val="24"/>
        </w:rPr>
        <w:t>8</w:t>
      </w:r>
      <w:r>
        <w:rPr>
          <w:rFonts w:ascii="Times New Roman" w:hAnsi="Times New Roman"/>
          <w:bCs/>
          <w:sz w:val="24"/>
        </w:rPr>
        <w:t xml:space="preserve"> (образец)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D325C6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 xml:space="preserve">или увеличивать (+) количество поставляемого объема оказываемых услуг в пределах согласованного количества без изменения </w:t>
      </w:r>
      <w:r w:rsidRPr="003816B5">
        <w:rPr>
          <w:rFonts w:ascii="Times New Roman" w:hAnsi="Times New Roman"/>
          <w:sz w:val="24"/>
        </w:rPr>
        <w:lastRenderedPageBreak/>
        <w:t>остальных условий, в том числе без изменения цен, сроков поставки, согласованных Сторонами в Приложениях (см. п.</w:t>
      </w:r>
      <w:r w:rsidR="000E2CC2">
        <w:rPr>
          <w:rFonts w:ascii="Times New Roman" w:hAnsi="Times New Roman"/>
          <w:sz w:val="24"/>
        </w:rPr>
        <w:t>3</w:t>
      </w:r>
      <w:r w:rsidR="00B244D0">
        <w:rPr>
          <w:rFonts w:ascii="Times New Roman" w:hAnsi="Times New Roman"/>
          <w:sz w:val="24"/>
        </w:rPr>
        <w:t>.</w:t>
      </w:r>
      <w:r w:rsidR="000E2CC2">
        <w:rPr>
          <w:rFonts w:ascii="Times New Roman" w:hAnsi="Times New Roman"/>
          <w:sz w:val="24"/>
        </w:rPr>
        <w:t>10</w:t>
      </w:r>
      <w:r w:rsidR="00B244D0">
        <w:rPr>
          <w:rFonts w:ascii="Times New Roman" w:hAnsi="Times New Roman"/>
          <w:sz w:val="24"/>
        </w:rPr>
        <w:t xml:space="preserve">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3F0003">
        <w:rPr>
          <w:rFonts w:ascii="Times New Roman" w:hAnsi="Times New Roman"/>
          <w:b/>
          <w:sz w:val="24"/>
        </w:rPr>
        <w:t>10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3F0003">
        <w:rPr>
          <w:rFonts w:ascii="Times New Roman" w:hAnsi="Times New Roman"/>
          <w:b/>
          <w:sz w:val="24"/>
        </w:rPr>
        <w:t>августа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3F0003">
        <w:rPr>
          <w:rFonts w:ascii="Times New Roman" w:hAnsi="Times New Roman"/>
          <w:b/>
          <w:sz w:val="24"/>
        </w:rPr>
        <w:t>21</w:t>
      </w:r>
      <w:r w:rsidRPr="003816B5">
        <w:rPr>
          <w:rFonts w:ascii="Times New Roman" w:hAnsi="Times New Roman"/>
          <w:b/>
          <w:sz w:val="24"/>
        </w:rPr>
        <w:t>»</w:t>
      </w:r>
      <w:r w:rsidR="003F0003">
        <w:rPr>
          <w:rFonts w:ascii="Times New Roman" w:hAnsi="Times New Roman"/>
          <w:b/>
          <w:sz w:val="24"/>
        </w:rPr>
        <w:t xml:space="preserve"> августа</w:t>
      </w:r>
      <w:r w:rsidR="003F0003"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6F78FA">
        <w:rPr>
          <w:rFonts w:ascii="Times New Roman" w:hAnsi="Times New Roman"/>
          <w:b/>
          <w:sz w:val="24"/>
        </w:rPr>
        <w:t>3</w:t>
      </w:r>
      <w:r w:rsidR="00D71D86">
        <w:rPr>
          <w:rFonts w:ascii="Times New Roman" w:hAnsi="Times New Roman"/>
          <w:b/>
          <w:sz w:val="24"/>
        </w:rPr>
        <w:t>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0E2CC2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C50722">
        <w:rPr>
          <w:rFonts w:ascii="Times New Roman" w:hAnsi="Times New Roman"/>
          <w:b/>
          <w:sz w:val="24"/>
        </w:rPr>
        <w:t>462</w:t>
      </w:r>
      <w:r w:rsidR="00732F70" w:rsidRPr="00732F70">
        <w:rPr>
          <w:rFonts w:ascii="Times New Roman" w:hAnsi="Times New Roman"/>
          <w:b/>
          <w:sz w:val="24"/>
        </w:rPr>
        <w:t>/ТК/201</w:t>
      </w:r>
      <w:r w:rsidR="0022055C">
        <w:rPr>
          <w:rFonts w:ascii="Times New Roman" w:hAnsi="Times New Roman"/>
          <w:b/>
          <w:sz w:val="24"/>
        </w:rPr>
        <w:t>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 w:rsidR="000E2CC2">
        <w:rPr>
          <w:rFonts w:ascii="Times New Roman" w:hAnsi="Times New Roman"/>
          <w:sz w:val="24"/>
        </w:rPr>
        <w:t>1019 «</w:t>
      </w:r>
      <w:r w:rsidR="000E2CC2" w:rsidRPr="00C406E3">
        <w:rPr>
          <w:rFonts w:ascii="Times New Roman" w:hAnsi="Times New Roman"/>
          <w:sz w:val="24"/>
        </w:rPr>
        <w:t>Оказание услуг по обеспечению трубной и штанговой продукцией, обслуживанию трубных площадок</w:t>
      </w:r>
      <w:r w:rsidR="000E2CC2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D325C6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</w:t>
      </w:r>
      <w:r w:rsidR="006F78FA">
        <w:rPr>
          <w:rFonts w:ascii="Times New Roman" w:hAnsi="Times New Roman"/>
          <w:sz w:val="24"/>
        </w:rPr>
        <w:t>(без указания сумм, цен и т.п.);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 конверте»</w:t>
      </w:r>
      <w:r w:rsidR="006F78FA">
        <w:rPr>
          <w:rFonts w:ascii="Times New Roman" w:hAnsi="Times New Roman"/>
          <w:sz w:val="24"/>
        </w:rPr>
        <w:t>;</w:t>
      </w:r>
      <w:r w:rsidRPr="00D25316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</w:t>
      </w:r>
      <w:r w:rsidR="000E2CC2">
        <w:rPr>
          <w:rFonts w:ascii="Times New Roman" w:hAnsi="Times New Roman"/>
          <w:sz w:val="24"/>
        </w:rPr>
        <w:t>ми к предмету оферты (Форма 5)</w:t>
      </w:r>
      <w:r w:rsidRPr="00D25316">
        <w:rPr>
          <w:rFonts w:ascii="Times New Roman" w:hAnsi="Times New Roman"/>
          <w:sz w:val="24"/>
        </w:rPr>
        <w:t>, перечень аффилированных организаций (Форм</w:t>
      </w:r>
      <w:r w:rsidR="00D325C6">
        <w:rPr>
          <w:rFonts w:ascii="Times New Roman" w:hAnsi="Times New Roman"/>
          <w:sz w:val="24"/>
        </w:rPr>
        <w:t>а 7)</w:t>
      </w:r>
      <w:r w:rsidRPr="00C362D8">
        <w:rPr>
          <w:rFonts w:ascii="Times New Roman" w:hAnsi="Times New Roman"/>
          <w:sz w:val="24"/>
        </w:rPr>
        <w:t>;</w:t>
      </w:r>
      <w:proofErr w:type="gramEnd"/>
      <w:r w:rsidRPr="00C362D8">
        <w:rPr>
          <w:rFonts w:ascii="Times New Roman" w:hAnsi="Times New Roman"/>
          <w:sz w:val="24"/>
        </w:rPr>
        <w:t xml:space="preserve"> </w:t>
      </w:r>
      <w:r w:rsidR="006F78FA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F78FA"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="006F78FA" w:rsidRPr="001A7599">
        <w:rPr>
          <w:rFonts w:ascii="Times New Roman" w:hAnsi="Times New Roman"/>
          <w:sz w:val="24"/>
        </w:rPr>
        <w:t xml:space="preserve"> (Форма </w:t>
      </w:r>
      <w:r w:rsidR="00D325C6">
        <w:rPr>
          <w:rFonts w:ascii="Times New Roman" w:hAnsi="Times New Roman"/>
          <w:sz w:val="24"/>
        </w:rPr>
        <w:t>8</w:t>
      </w:r>
      <w:r w:rsidR="006F78FA" w:rsidRPr="001A7599">
        <w:rPr>
          <w:rFonts w:ascii="Times New Roman" w:hAnsi="Times New Roman"/>
          <w:sz w:val="24"/>
        </w:rPr>
        <w:t>)</w:t>
      </w:r>
      <w:r w:rsidR="006F78FA">
        <w:rPr>
          <w:rFonts w:ascii="Times New Roman" w:hAnsi="Times New Roman"/>
          <w:sz w:val="24"/>
        </w:rPr>
        <w:t xml:space="preserve">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628684, ХМАО-Югра, г. </w:t>
      </w:r>
      <w:proofErr w:type="spellStart"/>
      <w:r w:rsidRPr="0052440E">
        <w:rPr>
          <w:rFonts w:ascii="Times New Roman" w:hAnsi="Times New Roman"/>
          <w:sz w:val="24"/>
        </w:rPr>
        <w:t>Мегион</w:t>
      </w:r>
      <w:proofErr w:type="spellEnd"/>
      <w:r w:rsidRPr="0052440E">
        <w:rPr>
          <w:rFonts w:ascii="Times New Roman" w:hAnsi="Times New Roman"/>
          <w:sz w:val="24"/>
        </w:rPr>
        <w:t>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3F0003">
        <w:rPr>
          <w:rFonts w:ascii="Times New Roman" w:hAnsi="Times New Roman"/>
          <w:sz w:val="24"/>
        </w:rPr>
        <w:t>18</w:t>
      </w:r>
      <w:r w:rsidRPr="0056778A">
        <w:rPr>
          <w:rFonts w:ascii="Times New Roman" w:hAnsi="Times New Roman"/>
          <w:sz w:val="24"/>
        </w:rPr>
        <w:t xml:space="preserve">» </w:t>
      </w:r>
      <w:r w:rsidR="003F0003">
        <w:rPr>
          <w:rFonts w:ascii="Times New Roman" w:hAnsi="Times New Roman"/>
          <w:sz w:val="24"/>
        </w:rPr>
        <w:t xml:space="preserve">августа 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F31143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Шаталов Владимир Владимирович</w:t>
      </w:r>
      <w:r w:rsidR="00E965EE">
        <w:rPr>
          <w:rFonts w:ascii="Times New Roman" w:hAnsi="Times New Roman"/>
          <w:sz w:val="24"/>
        </w:rPr>
        <w:t>, тел.: 8(34643)4</w:t>
      </w:r>
      <w:r>
        <w:rPr>
          <w:rFonts w:ascii="Times New Roman" w:hAnsi="Times New Roman"/>
          <w:sz w:val="24"/>
        </w:rPr>
        <w:t>6-203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5" w:history="1">
        <w:r w:rsidRPr="00376EBD">
          <w:rPr>
            <w:rStyle w:val="aa"/>
            <w:rFonts w:ascii="Times New Roman" w:hAnsi="Times New Roman"/>
            <w:sz w:val="24"/>
            <w:lang w:val="en-US"/>
          </w:rPr>
          <w:t>ShatalovVV</w:t>
        </w:r>
        <w:r w:rsidRPr="00376EBD">
          <w:rPr>
            <w:rStyle w:val="aa"/>
            <w:rFonts w:ascii="Times New Roman" w:hAnsi="Times New Roman"/>
            <w:sz w:val="24"/>
          </w:rPr>
          <w:t>@</w:t>
        </w:r>
        <w:r w:rsidRPr="00376EBD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376EBD">
          <w:rPr>
            <w:rStyle w:val="aa"/>
            <w:rFonts w:ascii="Times New Roman" w:hAnsi="Times New Roman"/>
            <w:sz w:val="24"/>
          </w:rPr>
          <w:t>.</w:t>
        </w:r>
        <w:r w:rsidRPr="00376EBD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376EBD">
          <w:rPr>
            <w:rStyle w:val="aa"/>
            <w:rFonts w:ascii="Times New Roman" w:hAnsi="Times New Roman"/>
            <w:sz w:val="24"/>
          </w:rPr>
          <w:t>.</w:t>
        </w:r>
        <w:r w:rsidRPr="00376EBD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</w:p>
    <w:p w:rsidR="00C67828" w:rsidRPr="00F31143" w:rsidRDefault="00F31143" w:rsidP="00C67828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Верещагина Оксана Дмитриевна</w:t>
      </w:r>
      <w:r w:rsidR="00C67828" w:rsidRPr="00F31143">
        <w:rPr>
          <w:rFonts w:ascii="Times New Roman" w:hAnsi="Times New Roman"/>
          <w:sz w:val="24"/>
        </w:rPr>
        <w:t xml:space="preserve">, </w:t>
      </w:r>
      <w:r w:rsidR="00C67828">
        <w:rPr>
          <w:rFonts w:ascii="Times New Roman" w:hAnsi="Times New Roman"/>
          <w:sz w:val="24"/>
        </w:rPr>
        <w:t>тел</w:t>
      </w:r>
      <w:r w:rsidR="00C67828" w:rsidRPr="00F31143">
        <w:rPr>
          <w:rFonts w:ascii="Times New Roman" w:hAnsi="Times New Roman"/>
          <w:sz w:val="24"/>
        </w:rPr>
        <w:t>.: 8(34643)4</w:t>
      </w:r>
      <w:r>
        <w:rPr>
          <w:rFonts w:ascii="Times New Roman" w:hAnsi="Times New Roman"/>
          <w:sz w:val="24"/>
        </w:rPr>
        <w:t>6-662</w:t>
      </w:r>
      <w:r w:rsidR="00C67828" w:rsidRPr="00F31143">
        <w:rPr>
          <w:rFonts w:ascii="Times New Roman" w:hAnsi="Times New Roman"/>
          <w:sz w:val="24"/>
        </w:rPr>
        <w:t xml:space="preserve">, </w:t>
      </w:r>
      <w:r w:rsidR="00C67828">
        <w:rPr>
          <w:rFonts w:ascii="Times New Roman" w:hAnsi="Times New Roman"/>
          <w:sz w:val="24"/>
          <w:lang w:val="en-US"/>
        </w:rPr>
        <w:t>mail</w:t>
      </w:r>
      <w:r w:rsidR="00C67828" w:rsidRPr="00F31143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VerescaginaOD</w:t>
      </w:r>
      <w:proofErr w:type="spellEnd"/>
      <w:r w:rsidR="00C67828" w:rsidRPr="00F31143">
        <w:rPr>
          <w:rFonts w:ascii="Times New Roman" w:hAnsi="Times New Roman"/>
          <w:sz w:val="24"/>
        </w:rPr>
        <w:t>@</w:t>
      </w:r>
      <w:proofErr w:type="spellStart"/>
      <w:r w:rsidR="00C67828" w:rsidRPr="00482826">
        <w:rPr>
          <w:rFonts w:ascii="Times New Roman" w:hAnsi="Times New Roman"/>
          <w:sz w:val="24"/>
          <w:lang w:val="en-US"/>
        </w:rPr>
        <w:t>mng</w:t>
      </w:r>
      <w:proofErr w:type="spellEnd"/>
      <w:r w:rsidR="00C67828" w:rsidRPr="00F31143">
        <w:rPr>
          <w:rFonts w:ascii="Times New Roman" w:hAnsi="Times New Roman"/>
          <w:sz w:val="24"/>
        </w:rPr>
        <w:t>.</w:t>
      </w:r>
      <w:proofErr w:type="spellStart"/>
      <w:r w:rsidR="00C67828" w:rsidRPr="00482826">
        <w:rPr>
          <w:rFonts w:ascii="Times New Roman" w:hAnsi="Times New Roman"/>
          <w:sz w:val="24"/>
          <w:lang w:val="en-US"/>
        </w:rPr>
        <w:t>slavneft</w:t>
      </w:r>
      <w:proofErr w:type="spellEnd"/>
      <w:r w:rsidR="00C67828" w:rsidRPr="00F31143">
        <w:rPr>
          <w:rFonts w:ascii="Times New Roman" w:hAnsi="Times New Roman"/>
          <w:sz w:val="24"/>
        </w:rPr>
        <w:t>.</w:t>
      </w:r>
      <w:proofErr w:type="spellStart"/>
      <w:r w:rsidR="00C67828" w:rsidRPr="00482826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B00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</w:t>
      </w:r>
      <w:r w:rsidR="008E7CB5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b/>
          <w:sz w:val="24"/>
        </w:rPr>
      </w:pPr>
    </w:p>
    <w:p w:rsidR="003F0003" w:rsidRDefault="003F0003" w:rsidP="00ED7A97">
      <w:pPr>
        <w:rPr>
          <w:rFonts w:ascii="Times New Roman" w:hAnsi="Times New Roman"/>
          <w:b/>
          <w:sz w:val="24"/>
        </w:rPr>
      </w:pPr>
    </w:p>
    <w:p w:rsidR="003F0003" w:rsidRDefault="003F0003" w:rsidP="00ED7A97">
      <w:pPr>
        <w:rPr>
          <w:rFonts w:ascii="Times New Roman" w:hAnsi="Times New Roman"/>
          <w:b/>
          <w:sz w:val="24"/>
        </w:rPr>
      </w:pPr>
    </w:p>
    <w:p w:rsidR="003F0003" w:rsidRDefault="003F0003" w:rsidP="00ED7A97">
      <w:pPr>
        <w:rPr>
          <w:rFonts w:ascii="Times New Roman" w:hAnsi="Times New Roman"/>
          <w:b/>
          <w:sz w:val="24"/>
        </w:rPr>
      </w:pPr>
    </w:p>
    <w:p w:rsidR="003F0003" w:rsidRDefault="003F0003" w:rsidP="00ED7A97">
      <w:pPr>
        <w:rPr>
          <w:rFonts w:ascii="Times New Roman" w:hAnsi="Times New Roman"/>
          <w:b/>
          <w:sz w:val="24"/>
        </w:rPr>
      </w:pPr>
    </w:p>
    <w:p w:rsidR="003F0003" w:rsidRDefault="003F0003" w:rsidP="00ED7A97">
      <w:pPr>
        <w:rPr>
          <w:rFonts w:ascii="Times New Roman" w:hAnsi="Times New Roman"/>
          <w:b/>
          <w:sz w:val="24"/>
        </w:rPr>
      </w:pPr>
    </w:p>
    <w:p w:rsidR="003F0003" w:rsidRDefault="003F0003" w:rsidP="00ED7A97">
      <w:pPr>
        <w:rPr>
          <w:rFonts w:ascii="Times New Roman" w:hAnsi="Times New Roman"/>
          <w:b/>
          <w:sz w:val="24"/>
        </w:rPr>
      </w:pPr>
    </w:p>
    <w:p w:rsidR="003F0003" w:rsidRDefault="003F0003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F31143" w:rsidRDefault="00F31143" w:rsidP="00ED7A97">
      <w:pPr>
        <w:rPr>
          <w:rFonts w:ascii="Times New Roman" w:hAnsi="Times New Roman"/>
          <w:sz w:val="24"/>
        </w:rPr>
      </w:pPr>
    </w:p>
    <w:p w:rsidR="00F31143" w:rsidRDefault="00F31143" w:rsidP="00ED7A97">
      <w:pPr>
        <w:rPr>
          <w:rFonts w:ascii="Times New Roman" w:hAnsi="Times New Roman"/>
          <w:sz w:val="24"/>
        </w:rPr>
      </w:pPr>
    </w:p>
    <w:p w:rsidR="00F31143" w:rsidRDefault="00F31143" w:rsidP="00ED7A97">
      <w:pPr>
        <w:rPr>
          <w:rFonts w:ascii="Times New Roman" w:hAnsi="Times New Roman"/>
          <w:sz w:val="24"/>
        </w:rPr>
      </w:pPr>
    </w:p>
    <w:p w:rsidR="00F17015" w:rsidRDefault="00F17015" w:rsidP="00ED7A97">
      <w:pPr>
        <w:rPr>
          <w:rFonts w:ascii="Times New Roman" w:hAnsi="Times New Roman"/>
          <w:sz w:val="24"/>
        </w:rPr>
      </w:pPr>
    </w:p>
    <w:p w:rsidR="00F17015" w:rsidRDefault="00F17015" w:rsidP="00ED7A97">
      <w:pPr>
        <w:rPr>
          <w:rFonts w:ascii="Times New Roman" w:hAnsi="Times New Roman"/>
          <w:sz w:val="24"/>
        </w:rPr>
      </w:pPr>
    </w:p>
    <w:p w:rsidR="00F31143" w:rsidRDefault="00F31143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C50722">
        <w:rPr>
          <w:rFonts w:ascii="Times New Roman" w:hAnsi="Times New Roman"/>
          <w:b/>
          <w:sz w:val="24"/>
        </w:rPr>
        <w:t>462</w:t>
      </w:r>
      <w:r w:rsidR="00732F70" w:rsidRPr="0022055C">
        <w:rPr>
          <w:rFonts w:ascii="Times New Roman" w:hAnsi="Times New Roman"/>
          <w:b/>
          <w:sz w:val="24"/>
        </w:rPr>
        <w:t>/</w:t>
      </w:r>
      <w:r w:rsidR="00732F70" w:rsidRPr="006F78FA">
        <w:rPr>
          <w:rFonts w:ascii="Times New Roman" w:hAnsi="Times New Roman"/>
          <w:b/>
          <w:sz w:val="24"/>
        </w:rPr>
        <w:t>ТК</w:t>
      </w:r>
      <w:r w:rsidR="00732F70">
        <w:rPr>
          <w:rFonts w:ascii="Times New Roman" w:hAnsi="Times New Roman"/>
          <w:b/>
          <w:sz w:val="24"/>
        </w:rPr>
        <w:t>/201</w:t>
      </w:r>
      <w:r w:rsidR="0022055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3F0003">
        <w:rPr>
          <w:rFonts w:ascii="Times New Roman" w:hAnsi="Times New Roman"/>
          <w:b/>
          <w:sz w:val="24"/>
        </w:rPr>
        <w:t>10</w:t>
      </w:r>
      <w:r w:rsidR="00B07852">
        <w:rPr>
          <w:rFonts w:ascii="Times New Roman" w:hAnsi="Times New Roman"/>
          <w:b/>
          <w:sz w:val="24"/>
        </w:rPr>
        <w:t>»</w:t>
      </w:r>
      <w:r w:rsidR="003F0003">
        <w:rPr>
          <w:rFonts w:ascii="Times New Roman" w:hAnsi="Times New Roman"/>
          <w:b/>
          <w:sz w:val="24"/>
        </w:rPr>
        <w:t xml:space="preserve"> августа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>
        <w:rPr>
          <w:rFonts w:ascii="Times New Roman" w:hAnsi="Times New Roman"/>
          <w:sz w:val="24"/>
        </w:rPr>
        <w:t xml:space="preserve">на </w:t>
      </w:r>
      <w:r w:rsidR="00E64662" w:rsidRPr="00D85169">
        <w:rPr>
          <w:rFonts w:ascii="Times New Roman" w:hAnsi="Times New Roman"/>
          <w:b/>
          <w:sz w:val="24"/>
        </w:rPr>
        <w:t xml:space="preserve">оказание </w:t>
      </w:r>
      <w:r w:rsidR="00F31143" w:rsidRPr="00DA3035">
        <w:rPr>
          <w:rFonts w:ascii="Times New Roman" w:hAnsi="Times New Roman"/>
          <w:b/>
          <w:sz w:val="24"/>
        </w:rPr>
        <w:t>услуг по обеспечению трубной и штанговой продукцией</w:t>
      </w:r>
      <w:r w:rsidR="00F31143">
        <w:rPr>
          <w:rFonts w:ascii="Times New Roman" w:hAnsi="Times New Roman"/>
          <w:b/>
          <w:sz w:val="24"/>
        </w:rPr>
        <w:t xml:space="preserve"> </w:t>
      </w:r>
      <w:r w:rsidR="00F31143" w:rsidRPr="00DA3035">
        <w:rPr>
          <w:rFonts w:ascii="Times New Roman" w:hAnsi="Times New Roman"/>
          <w:b/>
          <w:sz w:val="24"/>
        </w:rPr>
        <w:t>и снабжению дополнительным оборудованием</w:t>
      </w:r>
      <w:r w:rsidRPr="00580A9C">
        <w:rPr>
          <w:rFonts w:ascii="Times New Roman" w:hAnsi="Times New Roman"/>
          <w:sz w:val="24"/>
        </w:rPr>
        <w:t xml:space="preserve"> на условиях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указанного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ПДО</w:t>
      </w:r>
      <w:proofErr w:type="gramEnd"/>
      <w:r w:rsidRPr="00580A9C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 xml:space="preserve">на </w:t>
      </w:r>
      <w:r w:rsidR="00203AE2" w:rsidRPr="00D85169">
        <w:rPr>
          <w:rFonts w:ascii="Times New Roman" w:hAnsi="Times New Roman"/>
          <w:b/>
          <w:sz w:val="24"/>
        </w:rPr>
        <w:t xml:space="preserve">оказания </w:t>
      </w:r>
      <w:r w:rsidR="00F31143" w:rsidRPr="00DA3035">
        <w:rPr>
          <w:rFonts w:ascii="Times New Roman" w:hAnsi="Times New Roman"/>
          <w:b/>
          <w:sz w:val="24"/>
        </w:rPr>
        <w:t>услуг по обеспечению трубной и штанговой продукцией</w:t>
      </w:r>
      <w:r w:rsidR="00F31143">
        <w:rPr>
          <w:rFonts w:ascii="Times New Roman" w:hAnsi="Times New Roman"/>
          <w:b/>
          <w:sz w:val="24"/>
        </w:rPr>
        <w:t xml:space="preserve"> </w:t>
      </w:r>
      <w:r w:rsidR="00F31143" w:rsidRPr="00DA3035">
        <w:rPr>
          <w:rFonts w:ascii="Times New Roman" w:hAnsi="Times New Roman"/>
          <w:b/>
          <w:sz w:val="24"/>
        </w:rPr>
        <w:t>и снабжению дополнительным оборудованием</w:t>
      </w:r>
      <w:r w:rsidR="00F31143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F31143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 xml:space="preserve">с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01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.0</w:t>
            </w:r>
            <w:r w:rsidR="00F31143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F31143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3</w:t>
            </w:r>
            <w:r w:rsidR="00F31143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</w:t>
            </w:r>
            <w:r w:rsidR="00F31143">
              <w:rPr>
                <w:rFonts w:ascii="Times New Roman" w:hAnsi="Times New Roman"/>
                <w:sz w:val="23"/>
                <w:szCs w:val="23"/>
              </w:rPr>
              <w:t>12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D71D86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C0D37" w:rsidRDefault="00902E02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F31143" w:rsidRPr="00DA3035" w:rsidRDefault="00F31143" w:rsidP="00F31143">
            <w:pPr>
              <w:tabs>
                <w:tab w:val="left" w:pos="1134"/>
              </w:tabs>
              <w:spacing w:line="240" w:lineRule="exact"/>
              <w:jc w:val="both"/>
              <w:rPr>
                <w:rFonts w:ascii="Times New Roman" w:hAnsi="Times New Roman"/>
                <w:snapToGrid w:val="0"/>
                <w:sz w:val="24"/>
              </w:rPr>
            </w:pPr>
            <w:r w:rsidRPr="00DA3035">
              <w:rPr>
                <w:rFonts w:ascii="Times New Roman" w:hAnsi="Times New Roman"/>
                <w:spacing w:val="1"/>
                <w:sz w:val="24"/>
              </w:rPr>
              <w:t>Заказчик</w:t>
            </w:r>
            <w:r w:rsidRPr="00DA3035">
              <w:rPr>
                <w:rFonts w:ascii="Times New Roman" w:hAnsi="Times New Roman"/>
                <w:sz w:val="24"/>
              </w:rPr>
              <w:t xml:space="preserve"> обязуется осуществить оплату оказанных Услуг в течение 90 (девяноста) календарных дней, но не ранее 60 (шестидесяти) дней </w:t>
            </w:r>
            <w:proofErr w:type="gramStart"/>
            <w:r w:rsidRPr="00DA3035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DA3035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 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DA3035">
              <w:rPr>
                <w:rFonts w:ascii="Times New Roman" w:hAnsi="Times New Roman"/>
                <w:snapToGrid w:val="0"/>
                <w:sz w:val="24"/>
              </w:rPr>
              <w:t>кта оказанных услуг;</w:t>
            </w:r>
          </w:p>
          <w:p w:rsidR="00902E02" w:rsidRPr="006C0D37" w:rsidRDefault="00F31143" w:rsidP="00F31143">
            <w:pPr>
              <w:pStyle w:val="ad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DA3035">
              <w:rPr>
                <w:rFonts w:ascii="Times New Roman" w:hAnsi="Times New Roman"/>
                <w:sz w:val="24"/>
              </w:rPr>
              <w:t>чета – фактуры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F31143" w:rsidP="00F31143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Увеличение (+2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>0%) или уменьшение (-</w:t>
            </w:r>
            <w:r>
              <w:rPr>
                <w:rFonts w:ascii="Times New Roman" w:hAnsi="Times New Roman"/>
                <w:sz w:val="23"/>
                <w:szCs w:val="23"/>
              </w:rPr>
              <w:t>2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>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</w:t>
      </w:r>
      <w:r w:rsidR="00D71D86">
        <w:rPr>
          <w:rFonts w:ascii="Times New Roman" w:hAnsi="Times New Roman"/>
          <w:sz w:val="24"/>
        </w:rPr>
        <w:t>1</w:t>
      </w:r>
      <w:r w:rsidRPr="00580A9C">
        <w:rPr>
          <w:rFonts w:ascii="Times New Roman" w:hAnsi="Times New Roman"/>
          <w:sz w:val="24"/>
        </w:rPr>
        <w:t xml:space="preserve">» </w:t>
      </w:r>
      <w:r w:rsidR="00F31143">
        <w:rPr>
          <w:rFonts w:ascii="Times New Roman" w:hAnsi="Times New Roman"/>
          <w:sz w:val="24"/>
        </w:rPr>
        <w:t>декабря</w:t>
      </w:r>
      <w:r w:rsidR="00152D25">
        <w:rPr>
          <w:rFonts w:ascii="Times New Roman" w:hAnsi="Times New Roman"/>
          <w:sz w:val="24"/>
        </w:rPr>
        <w:t xml:space="preserve"> 201</w:t>
      </w:r>
      <w:r w:rsidR="006F78FA">
        <w:rPr>
          <w:rFonts w:ascii="Times New Roman" w:hAnsi="Times New Roman"/>
          <w:sz w:val="24"/>
        </w:rPr>
        <w:t>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3F0003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</w:t>
            </w:r>
            <w:r w:rsidR="003F0003">
              <w:rPr>
                <w:rFonts w:ascii="Times New Roman" w:hAnsi="Times New Roman"/>
                <w:sz w:val="24"/>
              </w:rPr>
              <w:t>328</w:t>
            </w:r>
            <w:r>
              <w:rPr>
                <w:rFonts w:ascii="Times New Roman" w:hAnsi="Times New Roman"/>
                <w:sz w:val="24"/>
              </w:rPr>
              <w:t>_____ от «</w:t>
            </w:r>
            <w:r w:rsidR="003F0003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»</w:t>
            </w:r>
            <w:r w:rsidR="003F0003">
              <w:rPr>
                <w:rFonts w:ascii="Times New Roman" w:hAnsi="Times New Roman"/>
                <w:sz w:val="24"/>
              </w:rPr>
              <w:t xml:space="preserve"> августа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 w:rsidRPr="00F31143">
        <w:rPr>
          <w:rFonts w:ascii="Times New Roman" w:hAnsi="Times New Roman" w:cs="Times New Roman"/>
          <w:sz w:val="24"/>
          <w:szCs w:val="24"/>
        </w:rPr>
        <w:t xml:space="preserve">оказание </w:t>
      </w:r>
      <w:r w:rsidR="00F31143" w:rsidRPr="00F31143">
        <w:rPr>
          <w:rFonts w:ascii="Times New Roman" w:hAnsi="Times New Roman" w:cs="Times New Roman"/>
          <w:sz w:val="24"/>
          <w:szCs w:val="24"/>
        </w:rPr>
        <w:t>услуг по обеспечению трубной и штанговой продукцией</w:t>
      </w:r>
      <w:r w:rsidR="00F31143" w:rsidRPr="00F31143">
        <w:rPr>
          <w:rFonts w:ascii="Times New Roman" w:hAnsi="Times New Roman"/>
          <w:sz w:val="24"/>
        </w:rPr>
        <w:t xml:space="preserve"> </w:t>
      </w:r>
      <w:r w:rsidR="00F31143" w:rsidRPr="00F31143">
        <w:rPr>
          <w:rFonts w:ascii="Times New Roman" w:hAnsi="Times New Roman" w:cs="Times New Roman"/>
          <w:sz w:val="24"/>
          <w:szCs w:val="24"/>
        </w:rPr>
        <w:t>и снабжению дополнительным оборудованием.</w:t>
      </w:r>
      <w:r w:rsidRPr="0063302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</w:t>
      </w:r>
      <w:r w:rsidR="00F3114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F31143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</w:t>
      </w:r>
      <w:r w:rsidR="00F3114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</w:t>
      </w:r>
      <w:r w:rsidR="00F31143">
        <w:rPr>
          <w:rFonts w:ascii="Times New Roman" w:hAnsi="Times New Roman" w:cs="Times New Roman"/>
          <w:sz w:val="24"/>
          <w:szCs w:val="24"/>
        </w:rPr>
        <w:t>12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D71D86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D71D86" w:rsidRPr="00D71D86" w:rsidRDefault="00D71D86" w:rsidP="00B00E54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D71D86" w:rsidRPr="00D71D86" w:rsidRDefault="00D71D86" w:rsidP="00D71D86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D71D86" w:rsidRPr="00D71D86" w:rsidRDefault="00D71D86" w:rsidP="00D71D86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D71D86" w:rsidRPr="00D71D86" w:rsidRDefault="00D71D86" w:rsidP="00B00E54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>Иметь необходимые лицензии;</w:t>
      </w:r>
    </w:p>
    <w:p w:rsidR="00D71D86" w:rsidRPr="00D71D86" w:rsidRDefault="00D71D86" w:rsidP="00D71D86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 xml:space="preserve">Иметь производственные мощности для выполнения предлагаемых </w:t>
      </w:r>
      <w:r w:rsidR="00FD6DC2">
        <w:rPr>
          <w:rFonts w:ascii="Times New Roman" w:hAnsi="Times New Roman"/>
          <w:sz w:val="24"/>
        </w:rPr>
        <w:t>услуг</w:t>
      </w:r>
      <w:r w:rsidRPr="00D71D86">
        <w:rPr>
          <w:rFonts w:ascii="Times New Roman" w:hAnsi="Times New Roman"/>
          <w:sz w:val="24"/>
        </w:rPr>
        <w:t>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договора;</w:t>
      </w:r>
    </w:p>
    <w:p w:rsidR="00D71D86" w:rsidRPr="00D71D86" w:rsidRDefault="00D71D86" w:rsidP="00D71D86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D71D86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обеспечить персонал ресурсами, необходимыми для оказания данного вида услуг с соблюдением  безопасных условий труда.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63302F" w:rsidRPr="008F1D6F" w:rsidRDefault="008F1D6F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A317BE"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D325C6"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2412C9" w:rsidRPr="002412C9" w:rsidRDefault="002412C9" w:rsidP="002412C9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Качественное и своевременное оказание услуг на </w:t>
      </w:r>
      <w:r w:rsidR="00FD6DC2">
        <w:rPr>
          <w:rFonts w:ascii="Times New Roman" w:hAnsi="Times New Roman"/>
          <w:sz w:val="24"/>
        </w:rPr>
        <w:t>объектах</w:t>
      </w:r>
      <w:r w:rsidRPr="002412C9">
        <w:rPr>
          <w:rFonts w:ascii="Times New Roman" w:hAnsi="Times New Roman"/>
          <w:sz w:val="24"/>
        </w:rPr>
        <w:t xml:space="preserve"> ОАО «СН-МНГ» в период с 01.0</w:t>
      </w:r>
      <w:r w:rsidR="00FD6DC2">
        <w:rPr>
          <w:rFonts w:ascii="Times New Roman" w:hAnsi="Times New Roman"/>
          <w:sz w:val="24"/>
        </w:rPr>
        <w:t>1</w:t>
      </w:r>
      <w:r w:rsidRPr="002412C9">
        <w:rPr>
          <w:rFonts w:ascii="Times New Roman" w:hAnsi="Times New Roman"/>
          <w:sz w:val="24"/>
        </w:rPr>
        <w:t>.201</w:t>
      </w:r>
      <w:r w:rsidR="00FD6DC2">
        <w:rPr>
          <w:rFonts w:ascii="Times New Roman" w:hAnsi="Times New Roman"/>
          <w:sz w:val="24"/>
        </w:rPr>
        <w:t>6</w:t>
      </w:r>
      <w:r w:rsidR="00992C5C">
        <w:rPr>
          <w:rFonts w:ascii="Times New Roman" w:hAnsi="Times New Roman"/>
          <w:sz w:val="24"/>
        </w:rPr>
        <w:t xml:space="preserve"> </w:t>
      </w:r>
      <w:r w:rsidRPr="002412C9">
        <w:rPr>
          <w:rFonts w:ascii="Times New Roman" w:hAnsi="Times New Roman"/>
          <w:sz w:val="24"/>
        </w:rPr>
        <w:t>г. по 3</w:t>
      </w:r>
      <w:r w:rsidR="00FD6DC2">
        <w:rPr>
          <w:rFonts w:ascii="Times New Roman" w:hAnsi="Times New Roman"/>
          <w:sz w:val="24"/>
        </w:rPr>
        <w:t>1.12</w:t>
      </w:r>
      <w:r w:rsidRPr="002412C9">
        <w:rPr>
          <w:rFonts w:ascii="Times New Roman" w:hAnsi="Times New Roman"/>
          <w:sz w:val="24"/>
        </w:rPr>
        <w:t>.201</w:t>
      </w:r>
      <w:r w:rsidR="00D71D86">
        <w:rPr>
          <w:rFonts w:ascii="Times New Roman" w:hAnsi="Times New Roman"/>
          <w:sz w:val="24"/>
        </w:rPr>
        <w:t>6</w:t>
      </w:r>
      <w:r w:rsidR="00992C5C">
        <w:rPr>
          <w:rFonts w:ascii="Times New Roman" w:hAnsi="Times New Roman"/>
          <w:sz w:val="24"/>
        </w:rPr>
        <w:t xml:space="preserve"> </w:t>
      </w:r>
      <w:r w:rsidRPr="002412C9">
        <w:rPr>
          <w:rFonts w:ascii="Times New Roman" w:hAnsi="Times New Roman"/>
          <w:sz w:val="24"/>
        </w:rPr>
        <w:t xml:space="preserve">г. </w:t>
      </w:r>
    </w:p>
    <w:p w:rsidR="002412C9" w:rsidRPr="002412C9" w:rsidRDefault="002412C9" w:rsidP="002412C9">
      <w:pPr>
        <w:widowControl w:val="0"/>
        <w:numPr>
          <w:ilvl w:val="0"/>
          <w:numId w:val="7"/>
        </w:numPr>
        <w:tabs>
          <w:tab w:val="clear" w:pos="1427"/>
          <w:tab w:val="num" w:pos="720"/>
        </w:tabs>
        <w:suppressAutoHyphens/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При оказании услуг на </w:t>
      </w:r>
      <w:r w:rsidR="00FD6DC2">
        <w:rPr>
          <w:rFonts w:ascii="Times New Roman" w:hAnsi="Times New Roman"/>
          <w:spacing w:val="-2"/>
          <w:sz w:val="24"/>
        </w:rPr>
        <w:t>объектах</w:t>
      </w:r>
      <w:r w:rsidRPr="002412C9">
        <w:rPr>
          <w:rFonts w:ascii="Times New Roman" w:hAnsi="Times New Roman"/>
          <w:sz w:val="24"/>
        </w:rPr>
        <w:t xml:space="preserve"> ОАО «СН-МНГ» соблюдать и выполнять требования д</w:t>
      </w:r>
      <w:r w:rsidRPr="002412C9">
        <w:rPr>
          <w:rFonts w:ascii="Times New Roman" w:hAnsi="Times New Roman"/>
          <w:color w:val="000000"/>
          <w:sz w:val="24"/>
        </w:rPr>
        <w:t>ействующих нормативно правовых актов РФ</w:t>
      </w:r>
      <w:r w:rsidRPr="002412C9">
        <w:rPr>
          <w:rFonts w:ascii="Times New Roman" w:hAnsi="Times New Roman"/>
          <w:sz w:val="24"/>
        </w:rPr>
        <w:t xml:space="preserve">, положений и </w:t>
      </w:r>
      <w:proofErr w:type="gramStart"/>
      <w:r w:rsidRPr="002412C9">
        <w:rPr>
          <w:rFonts w:ascii="Times New Roman" w:hAnsi="Times New Roman"/>
          <w:sz w:val="24"/>
        </w:rPr>
        <w:t>стандартов</w:t>
      </w:r>
      <w:proofErr w:type="gramEnd"/>
      <w:r w:rsidRPr="002412C9">
        <w:rPr>
          <w:rFonts w:ascii="Times New Roman" w:hAnsi="Times New Roman"/>
          <w:sz w:val="24"/>
        </w:rPr>
        <w:t xml:space="preserve"> утвержденных </w:t>
      </w:r>
      <w:r w:rsidRPr="002412C9">
        <w:rPr>
          <w:rFonts w:ascii="Times New Roman" w:hAnsi="Times New Roman"/>
          <w:spacing w:val="-2"/>
          <w:sz w:val="24"/>
        </w:rPr>
        <w:t xml:space="preserve">в </w:t>
      </w:r>
      <w:r w:rsidRPr="002412C9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Pr="002412C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2412C9">
        <w:rPr>
          <w:rFonts w:ascii="Times New Roman" w:hAnsi="Times New Roman"/>
          <w:sz w:val="24"/>
        </w:rPr>
        <w:t>»</w:t>
      </w:r>
      <w:r w:rsidRPr="002412C9">
        <w:rPr>
          <w:rFonts w:ascii="Times New Roman" w:hAnsi="Times New Roman"/>
          <w:spacing w:val="-2"/>
          <w:sz w:val="24"/>
        </w:rPr>
        <w:t>.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3F0003" w:rsidRDefault="003F0003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3F0003" w:rsidRDefault="003F0003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D71D86" w:rsidRDefault="00D71D8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Pr="00902E02" w:rsidRDefault="00CE3BA6" w:rsidP="00CE3BA6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D325C6">
        <w:rPr>
          <w:rFonts w:ascii="Times New Roman" w:hAnsi="Times New Roman"/>
          <w:b/>
          <w:sz w:val="24"/>
        </w:rPr>
        <w:t>8</w:t>
      </w:r>
      <w:r>
        <w:rPr>
          <w:rFonts w:ascii="Times New Roman" w:hAnsi="Times New Roman"/>
          <w:b/>
          <w:sz w:val="24"/>
        </w:rPr>
        <w:t xml:space="preserve"> «Калькуляция»</w:t>
      </w:r>
    </w:p>
    <w:p w:rsidR="00CE3BA6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Pr="00523749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Default="00CE3BA6" w:rsidP="00CE3BA6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CE3BA6" w:rsidRPr="00523749" w:rsidRDefault="00CE3BA6" w:rsidP="00CE3BA6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CE3BA6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826"/>
      </w:tblGrid>
      <w:tr w:rsidR="00CE3BA6" w:rsidRPr="00FD6DC2" w:rsidTr="00FD6D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№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FD6DC2" w:rsidRDefault="00CE3BA6" w:rsidP="00522BC2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Удельный вес (%)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</w:p>
    <w:p w:rsidR="00CE3BA6" w:rsidRPr="00DB406E" w:rsidRDefault="00CE3BA6" w:rsidP="00CE3BA6">
      <w:pPr>
        <w:pStyle w:val="ae"/>
        <w:jc w:val="both"/>
        <w:rPr>
          <w:b w:val="0"/>
          <w:sz w:val="24"/>
          <w:lang w:val="ru-RU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</w:r>
      <w:r w:rsidR="00DB406E">
        <w:rPr>
          <w:b w:val="0"/>
          <w:sz w:val="24"/>
          <w:lang w:val="ru-RU"/>
        </w:rPr>
        <w:t>Данная форма будет включена в договор (форма 6) в качестве приложения.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DB406E" w:rsidRDefault="00CE3BA6" w:rsidP="00CE3BA6">
      <w:pPr>
        <w:pStyle w:val="ae"/>
        <w:jc w:val="both"/>
        <w:rPr>
          <w:b w:val="0"/>
          <w:sz w:val="24"/>
          <w:lang w:val="ru-RU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DB406E">
        <w:rPr>
          <w:b w:val="0"/>
          <w:sz w:val="24"/>
          <w:lang w:val="ru-RU"/>
        </w:rPr>
        <w:t>.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CE3BA6">
      <w:pPr>
        <w:rPr>
          <w:rFonts w:ascii="Times New Roman" w:hAnsi="Times New Roman"/>
          <w:sz w:val="24"/>
          <w:lang/>
        </w:rPr>
      </w:pPr>
    </w:p>
    <w:p w:rsidR="00DB406E" w:rsidRPr="00FD6DC2" w:rsidRDefault="00DB406E" w:rsidP="00DB406E">
      <w:pPr>
        <w:pStyle w:val="ae"/>
        <w:jc w:val="both"/>
        <w:rPr>
          <w:b w:val="0"/>
          <w:sz w:val="24"/>
          <w:lang w:val="ru-RU"/>
        </w:rPr>
      </w:pPr>
      <w:r w:rsidRPr="00B25E08">
        <w:rPr>
          <w:b w:val="0"/>
          <w:sz w:val="24"/>
          <w:lang w:val="ru-RU"/>
        </w:rPr>
        <w:t xml:space="preserve">**** </w:t>
      </w:r>
      <w:r>
        <w:rPr>
          <w:b w:val="0"/>
          <w:sz w:val="24"/>
          <w:lang w:val="ru-RU"/>
        </w:rPr>
        <w:t>П</w:t>
      </w:r>
      <w:r w:rsidRPr="00B25E08">
        <w:rPr>
          <w:b w:val="0"/>
          <w:sz w:val="24"/>
          <w:lang w:val="ru-RU"/>
        </w:rPr>
        <w:t>о статье материалы необходимо в</w:t>
      </w:r>
      <w:r w:rsidRPr="00B25E08">
        <w:rPr>
          <w:b w:val="0"/>
          <w:sz w:val="24"/>
        </w:rPr>
        <w:t xml:space="preserve"> обязательном порядке указать маркировку (наименование, тип) оборудования и </w:t>
      </w:r>
      <w:proofErr w:type="gramStart"/>
      <w:r w:rsidRPr="00B25E08">
        <w:rPr>
          <w:b w:val="0"/>
          <w:sz w:val="24"/>
        </w:rPr>
        <w:t>материалов</w:t>
      </w:r>
      <w:proofErr w:type="gramEnd"/>
      <w:r w:rsidRPr="00B25E08">
        <w:rPr>
          <w:b w:val="0"/>
          <w:sz w:val="24"/>
        </w:rPr>
        <w:t xml:space="preserve"> использованных для производства работ</w:t>
      </w:r>
      <w:r w:rsidRPr="00B25E08">
        <w:rPr>
          <w:b w:val="0"/>
          <w:sz w:val="24"/>
          <w:lang w:val="ru-RU"/>
        </w:rPr>
        <w:t>/</w:t>
      </w:r>
      <w:r w:rsidRPr="00B25E08">
        <w:rPr>
          <w:b w:val="0"/>
          <w:sz w:val="24"/>
        </w:rPr>
        <w:t xml:space="preserve">услуг  </w:t>
      </w:r>
      <w:r w:rsidRPr="00B25E08">
        <w:rPr>
          <w:b w:val="0"/>
          <w:sz w:val="24"/>
          <w:lang w:val="ru-RU"/>
        </w:rPr>
        <w:t xml:space="preserve">по форме, </w:t>
      </w:r>
      <w:r w:rsidRPr="00B25E08">
        <w:rPr>
          <w:b w:val="0"/>
          <w:sz w:val="24"/>
        </w:rPr>
        <w:t xml:space="preserve">согласно прилагаемой </w:t>
      </w:r>
      <w:r w:rsidRPr="00B25E08">
        <w:rPr>
          <w:b w:val="0"/>
          <w:sz w:val="24"/>
          <w:lang w:val="ru-RU"/>
        </w:rPr>
        <w:t>т</w:t>
      </w:r>
      <w:proofErr w:type="spellStart"/>
      <w:r w:rsidRPr="00B25E08">
        <w:rPr>
          <w:b w:val="0"/>
          <w:sz w:val="24"/>
        </w:rPr>
        <w:t>аблицы</w:t>
      </w:r>
      <w:proofErr w:type="spellEnd"/>
      <w:r w:rsidRPr="00B25E08">
        <w:rPr>
          <w:b w:val="0"/>
          <w:sz w:val="24"/>
        </w:rPr>
        <w:t xml:space="preserve">. </w:t>
      </w:r>
    </w:p>
    <w:tbl>
      <w:tblPr>
        <w:tblStyle w:val="ab"/>
        <w:tblW w:w="10314" w:type="dxa"/>
        <w:tblLayout w:type="fixed"/>
        <w:tblLook w:val="04A0"/>
      </w:tblPr>
      <w:tblGrid>
        <w:gridCol w:w="534"/>
        <w:gridCol w:w="2551"/>
        <w:gridCol w:w="992"/>
        <w:gridCol w:w="1257"/>
        <w:gridCol w:w="1417"/>
        <w:gridCol w:w="1579"/>
        <w:gridCol w:w="1984"/>
      </w:tblGrid>
      <w:tr w:rsidR="00FD6DC2" w:rsidRPr="00FD6DC2" w:rsidTr="00FD6DC2">
        <w:tc>
          <w:tcPr>
            <w:tcW w:w="53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2551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Наименование материала/марка</w:t>
            </w:r>
          </w:p>
        </w:tc>
        <w:tc>
          <w:tcPr>
            <w:tcW w:w="992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Ед.</w:t>
            </w:r>
          </w:p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зм.</w:t>
            </w:r>
          </w:p>
        </w:tc>
        <w:tc>
          <w:tcPr>
            <w:tcW w:w="125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Цена за ед., руб. без НДС</w:t>
            </w:r>
          </w:p>
        </w:tc>
        <w:tc>
          <w:tcPr>
            <w:tcW w:w="1579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Стоимость, руб. без НДС</w:t>
            </w:r>
          </w:p>
        </w:tc>
        <w:tc>
          <w:tcPr>
            <w:tcW w:w="198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…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</w:tbl>
    <w:p w:rsidR="00CE3BA6" w:rsidRPr="00CE3BA6" w:rsidRDefault="00CE3BA6" w:rsidP="004B57B5">
      <w:pPr>
        <w:suppressAutoHyphens/>
        <w:rPr>
          <w:b/>
          <w:lang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175489C"/>
    <w:multiLevelType w:val="multilevel"/>
    <w:tmpl w:val="E31092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12"/>
  </w:num>
  <w:num w:numId="5">
    <w:abstractNumId w:val="1"/>
  </w:num>
  <w:num w:numId="6">
    <w:abstractNumId w:val="7"/>
  </w:num>
  <w:num w:numId="7">
    <w:abstractNumId w:val="0"/>
  </w:num>
  <w:num w:numId="8">
    <w:abstractNumId w:val="5"/>
  </w:num>
  <w:num w:numId="9">
    <w:abstractNumId w:val="4"/>
  </w:num>
  <w:num w:numId="10">
    <w:abstractNumId w:val="11"/>
  </w:num>
  <w:num w:numId="11">
    <w:abstractNumId w:val="3"/>
  </w:num>
  <w:num w:numId="12">
    <w:abstractNumId w:val="1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0E2CC2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4011"/>
    <w:rsid w:val="001D4BFB"/>
    <w:rsid w:val="00203AE2"/>
    <w:rsid w:val="0021200A"/>
    <w:rsid w:val="002153DA"/>
    <w:rsid w:val="0022055C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3F0003"/>
    <w:rsid w:val="00415355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63A81"/>
    <w:rsid w:val="0056778A"/>
    <w:rsid w:val="0057661E"/>
    <w:rsid w:val="00580A9C"/>
    <w:rsid w:val="00593CA4"/>
    <w:rsid w:val="005C635A"/>
    <w:rsid w:val="005C7C03"/>
    <w:rsid w:val="006042B0"/>
    <w:rsid w:val="0063302F"/>
    <w:rsid w:val="00637016"/>
    <w:rsid w:val="0063764B"/>
    <w:rsid w:val="006431F4"/>
    <w:rsid w:val="00683B52"/>
    <w:rsid w:val="006A0B75"/>
    <w:rsid w:val="006B0B87"/>
    <w:rsid w:val="006B308F"/>
    <w:rsid w:val="006C0D37"/>
    <w:rsid w:val="006F78FA"/>
    <w:rsid w:val="00714FBE"/>
    <w:rsid w:val="00724370"/>
    <w:rsid w:val="00732F70"/>
    <w:rsid w:val="0075128F"/>
    <w:rsid w:val="00756583"/>
    <w:rsid w:val="007571D5"/>
    <w:rsid w:val="00764F60"/>
    <w:rsid w:val="00767E47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0E54"/>
    <w:rsid w:val="00B07405"/>
    <w:rsid w:val="00B07852"/>
    <w:rsid w:val="00B07981"/>
    <w:rsid w:val="00B15431"/>
    <w:rsid w:val="00B15BD1"/>
    <w:rsid w:val="00B244D0"/>
    <w:rsid w:val="00B25E08"/>
    <w:rsid w:val="00B40ECD"/>
    <w:rsid w:val="00B52BA2"/>
    <w:rsid w:val="00B5394E"/>
    <w:rsid w:val="00B53E16"/>
    <w:rsid w:val="00B55B52"/>
    <w:rsid w:val="00B71A82"/>
    <w:rsid w:val="00BB78A5"/>
    <w:rsid w:val="00BD7AD7"/>
    <w:rsid w:val="00BE12EF"/>
    <w:rsid w:val="00BF0F5B"/>
    <w:rsid w:val="00C13F3F"/>
    <w:rsid w:val="00C258D1"/>
    <w:rsid w:val="00C503A2"/>
    <w:rsid w:val="00C5072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325C6"/>
    <w:rsid w:val="00D401CE"/>
    <w:rsid w:val="00D602EB"/>
    <w:rsid w:val="00D64E2B"/>
    <w:rsid w:val="00D71D86"/>
    <w:rsid w:val="00D85169"/>
    <w:rsid w:val="00DB35A7"/>
    <w:rsid w:val="00DB406E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17015"/>
    <w:rsid w:val="00F21BCA"/>
    <w:rsid w:val="00F31143"/>
    <w:rsid w:val="00F40A5B"/>
    <w:rsid w:val="00F82D65"/>
    <w:rsid w:val="00F94F19"/>
    <w:rsid w:val="00F95725"/>
    <w:rsid w:val="00FA5068"/>
    <w:rsid w:val="00FA522E"/>
    <w:rsid w:val="00FB5238"/>
    <w:rsid w:val="00FC20F9"/>
    <w:rsid w:val="00FD6DC2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otline@slavneft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der@mng.slavneft.ru" TargetMode="External"/><Relationship Id="rId5" Type="http://schemas.openxmlformats.org/officeDocument/2006/relationships/hyperlink" Target="mailto:ShatalovVV@mng.slavneft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1</Pages>
  <Words>2490</Words>
  <Characters>14197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61</cp:revision>
  <cp:lastPrinted>2015-04-15T02:58:00Z</cp:lastPrinted>
  <dcterms:created xsi:type="dcterms:W3CDTF">2014-07-22T02:24:00Z</dcterms:created>
  <dcterms:modified xsi:type="dcterms:W3CDTF">2015-08-10T06:09:00Z</dcterms:modified>
</cp:coreProperties>
</file>