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88565C">
            <w:pPr>
              <w:jc w:val="both"/>
            </w:pPr>
            <w:r w:rsidRPr="000127F9">
              <w:t>Протокол  № _</w:t>
            </w:r>
            <w:r w:rsidR="00794DD1">
              <w:t>___</w:t>
            </w:r>
            <w:r w:rsidR="0088565C">
              <w:t>306</w:t>
            </w:r>
            <w:r w:rsidRPr="000127F9">
              <w:t>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88565C">
            <w:pPr>
              <w:jc w:val="both"/>
            </w:pPr>
            <w:r w:rsidRPr="000127F9">
              <w:t>«_</w:t>
            </w:r>
            <w:r w:rsidR="0088565C">
              <w:t>07</w:t>
            </w:r>
            <w:r w:rsidRPr="000127F9">
              <w:t>_» ____</w:t>
            </w:r>
            <w:r w:rsidR="0088565C">
              <w:t>10</w:t>
            </w:r>
            <w:r w:rsidR="00794DD1">
              <w:t>__</w:t>
            </w:r>
            <w:r w:rsidRPr="000127F9">
              <w:t xml:space="preserve">_____  </w:t>
            </w:r>
            <w:r w:rsidR="006214E0">
              <w:t>2014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C0340A">
        <w:rPr>
          <w:b/>
        </w:rPr>
        <w:t>55</w:t>
      </w:r>
      <w:r w:rsidR="003150CD">
        <w:rPr>
          <w:b/>
        </w:rPr>
        <w:t>7</w:t>
      </w:r>
      <w:r w:rsidR="001C558D" w:rsidRPr="00E61BBD">
        <w:rPr>
          <w:b/>
        </w:rPr>
        <w:t>/ТК/201</w:t>
      </w:r>
      <w:r w:rsidR="00B5448B">
        <w:rPr>
          <w:b/>
        </w:rPr>
        <w:t>4</w:t>
      </w:r>
      <w:r>
        <w:rPr>
          <w:b/>
        </w:rPr>
        <w:t>г.</w:t>
      </w:r>
      <w:r w:rsidR="001C558D" w:rsidRPr="00E61BBD">
        <w:rPr>
          <w:b/>
        </w:rPr>
        <w:t xml:space="preserve"> от </w:t>
      </w:r>
      <w:r w:rsidR="0088565C">
        <w:rPr>
          <w:b/>
        </w:rPr>
        <w:t>07.10</w:t>
      </w:r>
      <w:r w:rsidR="00794DD1">
        <w:rPr>
          <w:b/>
        </w:rPr>
        <w:t>.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C0340A">
        <w:rPr>
          <w:b/>
        </w:rPr>
        <w:t>426</w:t>
      </w:r>
      <w:r w:rsidR="00EA4884">
        <w:rPr>
          <w:b/>
        </w:rPr>
        <w:t xml:space="preserve"> </w:t>
      </w:r>
      <w:r w:rsidR="00D13FB4" w:rsidRPr="005A0C17">
        <w:rPr>
          <w:b/>
        </w:rPr>
        <w:t>«</w:t>
      </w:r>
      <w:r w:rsidR="00C0340A">
        <w:rPr>
          <w:b/>
        </w:rPr>
        <w:t>Подготовка планов работ по месторождениям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80164A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Формой 4</w:t>
      </w:r>
      <w:r w:rsidR="00103BF0">
        <w:t>.</w:t>
      </w:r>
    </w:p>
    <w:p w:rsidR="0080164A" w:rsidRPr="000127F9" w:rsidRDefault="0080164A" w:rsidP="0080164A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0127F9" w:rsidRDefault="0080164A" w:rsidP="0080164A">
      <w:pPr>
        <w:jc w:val="both"/>
      </w:pPr>
      <w:r w:rsidRPr="000127F9"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80164A" w:rsidRDefault="00010018" w:rsidP="0080164A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80164A" w:rsidRPr="000127F9" w:rsidRDefault="0080164A" w:rsidP="0080164A">
      <w:pPr>
        <w:ind w:firstLine="708"/>
        <w:jc w:val="both"/>
      </w:pPr>
      <w:r>
        <w:t xml:space="preserve">Отбор проводится в </w:t>
      </w:r>
      <w:r w:rsidRPr="000127F9">
        <w:t>два этапа: оценка технической части оферт и оценка коммерческой части оферт.</w:t>
      </w:r>
    </w:p>
    <w:p w:rsidR="00892C37" w:rsidRDefault="0080164A" w:rsidP="0080164A">
      <w:pPr>
        <w:pStyle w:val="a6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92C37" w:rsidRPr="00892C37">
        <w:rPr>
          <w:rFonts w:ascii="Times New Roman" w:hAnsi="Times New Roman"/>
          <w:sz w:val="24"/>
          <w:szCs w:val="24"/>
        </w:rPr>
        <w:t>После этапа оценки коммерческой части оферт будут проводиться коммерческие переговоры</w:t>
      </w:r>
      <w:r w:rsidR="00892C37">
        <w:rPr>
          <w:rFonts w:ascii="Times New Roman" w:hAnsi="Times New Roman"/>
          <w:sz w:val="24"/>
          <w:szCs w:val="24"/>
        </w:rPr>
        <w:t xml:space="preserve">. </w:t>
      </w:r>
      <w:r w:rsidR="00892C37" w:rsidRPr="00892C37">
        <w:rPr>
          <w:rFonts w:ascii="Times New Roman" w:hAnsi="Times New Roman"/>
          <w:sz w:val="24"/>
          <w:szCs w:val="24"/>
        </w:rPr>
        <w:t>О порядке и сроках проведения коммерческих переговоров участники закупки будут оповещены дополнительно.</w:t>
      </w:r>
    </w:p>
    <w:p w:rsidR="0080164A" w:rsidRPr="000127F9" w:rsidRDefault="0080164A" w:rsidP="0080164A">
      <w:pPr>
        <w:pStyle w:val="a6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127F9">
        <w:rPr>
          <w:rFonts w:ascii="Times New Roman" w:hAnsi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80164A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010018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31.12.201</w:t>
      </w:r>
      <w:r w:rsidR="00B5448B">
        <w:t>4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010018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предложение о заключении договора (Форма 3);</w:t>
      </w:r>
    </w:p>
    <w:p w:rsidR="00A70365" w:rsidRPr="000B2ACB" w:rsidRDefault="00A70365" w:rsidP="00EC7185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t>заполненный, подписанный</w:t>
      </w:r>
      <w:r w:rsidRPr="000B2ACB">
        <w:t xml:space="preserve"> </w:t>
      </w:r>
      <w:r>
        <w:t>«Лот</w:t>
      </w:r>
      <w:r w:rsidR="00C0340A">
        <w:t xml:space="preserve"> </w:t>
      </w:r>
      <w:r>
        <w:t xml:space="preserve">№ </w:t>
      </w:r>
      <w:r w:rsidR="00C0340A">
        <w:t>426</w:t>
      </w:r>
      <w:r>
        <w:t xml:space="preserve">» </w:t>
      </w:r>
      <w:r>
        <w:rPr>
          <w:szCs w:val="16"/>
        </w:rPr>
        <w:t>(Форма 4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Default="00EC7185" w:rsidP="00300F66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BB0C52">
        <w:t>заполненную, подписанную  Каль</w:t>
      </w:r>
      <w:r>
        <w:t xml:space="preserve">куляцию, </w:t>
      </w:r>
      <w:r w:rsidRPr="007F10EF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 w:rsidR="00672D09">
        <w:rPr>
          <w:szCs w:val="16"/>
        </w:rPr>
        <w:t xml:space="preserve">(Форма </w:t>
      </w:r>
      <w:r w:rsidR="00AB778C">
        <w:rPr>
          <w:szCs w:val="16"/>
        </w:rPr>
        <w:t>8</w:t>
      </w:r>
      <w:r w:rsidR="00603679" w:rsidRPr="000B2ACB">
        <w:rPr>
          <w:szCs w:val="16"/>
        </w:rPr>
        <w:t>)</w:t>
      </w:r>
      <w:r w:rsidR="00D302C2">
        <w:rPr>
          <w:szCs w:val="16"/>
        </w:rPr>
        <w:t>;</w:t>
      </w:r>
    </w:p>
    <w:p w:rsidR="00D302C2" w:rsidRPr="000B2ACB" w:rsidRDefault="00D302C2" w:rsidP="00300F66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FA282F">
        <w:t xml:space="preserve">оферт участников закупки на выполнение работ по разработке планов развития горных работ по объектам производственной деятельности ОАО «СН-МНГ» </w:t>
      </w:r>
      <w:r>
        <w:t xml:space="preserve"> по типу </w:t>
      </w:r>
      <w:r w:rsidR="00FA282F">
        <w:t xml:space="preserve">сделки </w:t>
      </w:r>
      <w:r>
        <w:t xml:space="preserve">№ </w:t>
      </w:r>
      <w:r w:rsidR="00AB778C">
        <w:t>426</w:t>
      </w:r>
      <w:r>
        <w:t xml:space="preserve"> «</w:t>
      </w:r>
      <w:r w:rsidR="00AB778C" w:rsidRPr="00AB778C">
        <w:t>Подготовка планов работ по месторождениям</w:t>
      </w:r>
      <w:r>
        <w:t>»</w:t>
      </w:r>
      <w:r w:rsidRPr="00DF2352">
        <w:rPr>
          <w:iCs/>
          <w:szCs w:val="16"/>
        </w:rPr>
        <w:t xml:space="preserve"> </w:t>
      </w:r>
      <w:r w:rsidR="009B1115">
        <w:rPr>
          <w:iCs/>
          <w:szCs w:val="16"/>
        </w:rPr>
        <w:t>(Приложение №2</w:t>
      </w:r>
      <w:r w:rsidRPr="00E67AA2">
        <w:rPr>
          <w:iCs/>
          <w:szCs w:val="16"/>
        </w:rPr>
        <w:t xml:space="preserve"> к Форме 5).</w:t>
      </w:r>
    </w:p>
    <w:p w:rsidR="0004243A" w:rsidRPr="0004243A" w:rsidRDefault="0004243A" w:rsidP="0004243A">
      <w:pPr>
        <w:autoSpaceDE w:val="0"/>
        <w:autoSpaceDN w:val="0"/>
        <w:adjustRightInd w:val="0"/>
        <w:ind w:left="1134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6214E0">
        <w:rPr>
          <w:b/>
        </w:rPr>
        <w:t>0</w:t>
      </w:r>
      <w:r w:rsidR="0088565C">
        <w:rPr>
          <w:b/>
        </w:rPr>
        <w:t>7</w:t>
      </w:r>
      <w:r w:rsidRPr="009C58FF">
        <w:rPr>
          <w:b/>
        </w:rPr>
        <w:t xml:space="preserve">» </w:t>
      </w:r>
      <w:r w:rsidR="006214E0">
        <w:rPr>
          <w:b/>
        </w:rPr>
        <w:t xml:space="preserve">октября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88565C">
        <w:rPr>
          <w:b/>
        </w:rPr>
        <w:t>20</w:t>
      </w:r>
      <w:r w:rsidRPr="009C58FF">
        <w:rPr>
          <w:b/>
        </w:rPr>
        <w:t xml:space="preserve">» </w:t>
      </w:r>
      <w:r w:rsidR="006214E0">
        <w:rPr>
          <w:b/>
        </w:rPr>
        <w:t>октября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«31» декабря 2014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AB778C">
        <w:rPr>
          <w:b/>
        </w:rPr>
        <w:t>55</w:t>
      </w:r>
      <w:r w:rsidR="000509F7" w:rsidRPr="000509F7">
        <w:rPr>
          <w:b/>
        </w:rPr>
        <w:t>7</w:t>
      </w:r>
      <w:r w:rsidR="00B5448B" w:rsidRPr="000509F7">
        <w:rPr>
          <w:b/>
        </w:rPr>
        <w:t>/ТК/2014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содержит </w:t>
      </w:r>
      <w:r w:rsidR="008679B5">
        <w:t xml:space="preserve">оригиналы </w:t>
      </w:r>
      <w:r w:rsidR="00EB24CF" w:rsidRPr="000127F9">
        <w:t>документ</w:t>
      </w:r>
      <w:r w:rsidR="008679B5">
        <w:t>ов или надлежащим образом,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FA282F" w:rsidRPr="00FA282F">
        <w:t xml:space="preserve">«Критериям технической оценки оферт участников закупки на выполнение работ по разработке планов развития горных работ по объектам производственной деятельности ОАО «СН-МНГ»  по типу сделки </w:t>
      </w:r>
      <w:r w:rsidR="00FA282F" w:rsidRPr="00FA282F">
        <w:rPr>
          <w:b/>
        </w:rPr>
        <w:t>№ 426 «Подготовка планов работ по месторождениям»</w:t>
      </w:r>
      <w:r w:rsidR="00FA282F">
        <w:t xml:space="preserve"> (Приложение №2 к Форме 5)</w:t>
      </w:r>
      <w:r w:rsidR="00FA282F" w:rsidRPr="00FA282F">
        <w:t xml:space="preserve">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533F74">
      <w:pPr>
        <w:autoSpaceDE w:val="0"/>
        <w:autoSpaceDN w:val="0"/>
        <w:adjustRightInd w:val="0"/>
        <w:spacing w:line="276" w:lineRule="auto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>
        <w:t xml:space="preserve">конверт (с пометкой «Копия»), содержащий </w:t>
      </w:r>
      <w:r w:rsidRPr="0057045A">
        <w:t>копии</w:t>
      </w:r>
      <w:r w:rsidRPr="0028121C">
        <w:t xml:space="preserve"> документов, находящихся в первом конверте»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D302C2">
        <w:rPr>
          <w:bCs/>
        </w:rPr>
        <w:t xml:space="preserve">конверт (с пометкой </w:t>
      </w:r>
      <w:r w:rsidR="0028121C" w:rsidRPr="00D302C2">
        <w:rPr>
          <w:bCs/>
          <w:u w:val="single"/>
        </w:rPr>
        <w:t>«Оригинал»)</w:t>
      </w:r>
      <w:r w:rsidR="0028121C" w:rsidRPr="00D302C2">
        <w:t>, оригиналы документов: заполненное извещение о согласии сделать оферту (Форма 2), предложение о заключении договора (Форма 3), заполненный, подписанный «</w:t>
      </w:r>
      <w:r w:rsidR="00E67AA2">
        <w:t xml:space="preserve">Лот 426 </w:t>
      </w:r>
      <w:r w:rsidR="0028121C" w:rsidRPr="00D302C2">
        <w:t xml:space="preserve">» </w:t>
      </w:r>
      <w:r w:rsidR="0028121C" w:rsidRPr="00D302C2">
        <w:rPr>
          <w:szCs w:val="16"/>
        </w:rPr>
        <w:t xml:space="preserve">(Форма 4), </w:t>
      </w:r>
      <w:r w:rsidR="0028121C" w:rsidRPr="00D302C2">
        <w:t>в соответствии с Требованиями к предмету оферты (Форма 5), оформленный и подписанный со стороны контрагента договор на выполнение работ с приложениями (при их наличии) по форме 6,</w:t>
      </w:r>
      <w:r w:rsidR="0028121C" w:rsidRPr="00D302C2">
        <w:rPr>
          <w:szCs w:val="16"/>
        </w:rPr>
        <w:t xml:space="preserve"> </w:t>
      </w:r>
      <w:r w:rsidR="0028121C" w:rsidRPr="00D302C2">
        <w:lastRenderedPageBreak/>
        <w:t>перечень аффилированных организаций (Форма 7),</w:t>
      </w:r>
      <w:r w:rsidR="00E67AA2">
        <w:rPr>
          <w:szCs w:val="16"/>
        </w:rPr>
        <w:t xml:space="preserve"> </w:t>
      </w:r>
      <w:r w:rsidR="0028121C" w:rsidRPr="00D302C2">
        <w:t>заполненную</w:t>
      </w:r>
      <w:proofErr w:type="gramEnd"/>
      <w:r w:rsidR="0028121C" w:rsidRPr="00D302C2">
        <w:t xml:space="preserve">, подписанную  Калькуляцию, </w:t>
      </w:r>
      <w:r w:rsidR="0028121C" w:rsidRPr="00D302C2">
        <w:rPr>
          <w:lang w:val="en-US"/>
        </w:rPr>
        <w:t>c</w:t>
      </w:r>
      <w:r w:rsidR="0028121C" w:rsidRPr="00D302C2">
        <w:t xml:space="preserve"> расшифровкой по стоимости затрат </w:t>
      </w:r>
      <w:r w:rsidR="0028121C" w:rsidRPr="00D302C2">
        <w:rPr>
          <w:szCs w:val="16"/>
        </w:rPr>
        <w:t xml:space="preserve">(Форма </w:t>
      </w:r>
      <w:r w:rsidR="00E67AA2">
        <w:rPr>
          <w:szCs w:val="16"/>
        </w:rPr>
        <w:t>8</w:t>
      </w:r>
      <w:r w:rsidR="0028121C" w:rsidRPr="00D302C2">
        <w:rPr>
          <w:szCs w:val="16"/>
        </w:rPr>
        <w:t>).</w:t>
      </w:r>
      <w:r w:rsidR="0028121C">
        <w:rPr>
          <w:szCs w:val="16"/>
        </w:rPr>
        <w:t xml:space="preserve"> </w:t>
      </w:r>
    </w:p>
    <w:p w:rsidR="0028121C" w:rsidRPr="00D87386" w:rsidRDefault="0028121C" w:rsidP="0028121C">
      <w:pPr>
        <w:ind w:firstLine="708"/>
        <w:jc w:val="both"/>
      </w:pPr>
      <w:r w:rsidRPr="000127F9">
        <w:t xml:space="preserve">В конверт с пометкой «Оригинал»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CB055E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</w:t>
      </w:r>
      <w:r w:rsidR="00CB055E" w:rsidRPr="00300F66">
        <w:rPr>
          <w:color w:val="000000"/>
        </w:rPr>
        <w:t>)</w:t>
      </w:r>
      <w:r w:rsidR="00CB055E">
        <w:rPr>
          <w:color w:val="000000"/>
        </w:rPr>
        <w:t xml:space="preserve">, </w:t>
      </w:r>
      <w:r w:rsidR="00CB055E" w:rsidRPr="001510F2">
        <w:rPr>
          <w:color w:val="000000"/>
        </w:rPr>
        <w:t>а также оригинал карточки предприятия.</w:t>
      </w:r>
      <w:r w:rsidR="00CB055E" w:rsidRPr="001510F2">
        <w:t xml:space="preserve"> </w:t>
      </w:r>
      <w:r w:rsidRPr="001510F2">
        <w:t xml:space="preserve"> Документы в конверте с пометкой «Оригинал» являются</w:t>
      </w:r>
      <w:r w:rsidRPr="000127F9">
        <w:t xml:space="preserve"> </w:t>
      </w:r>
      <w:r>
        <w:t>официальной офертой;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>
        <w:t xml:space="preserve">конверт (с пометкой «Копия»), содержащий </w:t>
      </w:r>
      <w:r w:rsidRPr="0057045A">
        <w:t>копии всех документов</w:t>
      </w:r>
      <w:r>
        <w:t>, находящихся в третьем конверте</w:t>
      </w:r>
      <w:r w:rsidRPr="001510F2">
        <w:t xml:space="preserve">, с оригиналом карточки предприятия. </w:t>
      </w:r>
    </w:p>
    <w:p w:rsidR="00CB055E" w:rsidRPr="006E22EB" w:rsidRDefault="00CB055E" w:rsidP="00CB055E">
      <w:pPr>
        <w:ind w:firstLine="708"/>
        <w:jc w:val="both"/>
        <w:rPr>
          <w:color w:val="000000"/>
        </w:rPr>
      </w:pPr>
      <w:r w:rsidRPr="001510F2">
        <w:rPr>
          <w:color w:val="000000"/>
        </w:rPr>
        <w:t xml:space="preserve">В случае проведения тендера в два этапа техническая (без указания, </w:t>
      </w:r>
      <w:r w:rsidR="00F363CE" w:rsidRPr="001510F2">
        <w:rPr>
          <w:color w:val="000000"/>
        </w:rPr>
        <w:t>сумм, цен и т.п.) и коммерческая</w:t>
      </w:r>
      <w:r w:rsidRPr="001510F2">
        <w:rPr>
          <w:color w:val="000000"/>
        </w:rPr>
        <w:t xml:space="preserve"> части оферты подаются в разных конвертах.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6214E0">
        <w:rPr>
          <w:b/>
        </w:rPr>
        <w:t>«</w:t>
      </w:r>
      <w:r w:rsidR="006214E0" w:rsidRPr="006214E0">
        <w:rPr>
          <w:b/>
          <w:u w:val="single"/>
        </w:rPr>
        <w:t>1</w:t>
      </w:r>
      <w:r w:rsidR="00087BCD">
        <w:rPr>
          <w:b/>
          <w:u w:val="single"/>
        </w:rPr>
        <w:t>5</w:t>
      </w:r>
      <w:r w:rsidRPr="006214E0">
        <w:rPr>
          <w:b/>
        </w:rPr>
        <w:t>»</w:t>
      </w:r>
      <w:r w:rsidRPr="000127F9">
        <w:rPr>
          <w:b/>
        </w:rPr>
        <w:t xml:space="preserve"> </w:t>
      </w:r>
      <w:r w:rsidR="006214E0">
        <w:rPr>
          <w:b/>
        </w:rPr>
        <w:t>октября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E67AA2" w:rsidRPr="00E53392" w:rsidRDefault="00E67AA2" w:rsidP="00E67AA2">
      <w:pPr>
        <w:pStyle w:val="aff8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геологического отдела</w:t>
      </w:r>
    </w:p>
    <w:p w:rsidR="00E67AA2" w:rsidRPr="00E53392" w:rsidRDefault="00E67AA2" w:rsidP="00E67AA2">
      <w:pPr>
        <w:pStyle w:val="aff8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Юрков Иван Сергеевич</w:t>
      </w:r>
    </w:p>
    <w:p w:rsidR="00E67AA2" w:rsidRPr="004C5826" w:rsidRDefault="00E67AA2" w:rsidP="00E67AA2">
      <w:pPr>
        <w:pStyle w:val="aff8"/>
        <w:ind w:firstLine="426"/>
        <w:rPr>
          <w:rFonts w:ascii="Times New Roman" w:hAnsi="Times New Roman"/>
          <w:sz w:val="24"/>
          <w:szCs w:val="24"/>
        </w:rPr>
      </w:pPr>
      <w:r w:rsidRPr="004C5826">
        <w:rPr>
          <w:rFonts w:ascii="Times New Roman" w:hAnsi="Times New Roman"/>
          <w:sz w:val="24"/>
          <w:szCs w:val="24"/>
        </w:rPr>
        <w:t>тел. 8-(34643) 4</w:t>
      </w:r>
      <w:r w:rsidRPr="00E5339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</w:t>
      </w:r>
      <w:r w:rsidRPr="00E53392">
        <w:rPr>
          <w:rFonts w:ascii="Times New Roman" w:hAnsi="Times New Roman"/>
          <w:sz w:val="24"/>
          <w:szCs w:val="24"/>
        </w:rPr>
        <w:t xml:space="preserve">190, </w:t>
      </w:r>
      <w:r w:rsidRPr="00E53392">
        <w:rPr>
          <w:rStyle w:val="af4"/>
          <w:rFonts w:ascii="Times New Roman" w:hAnsi="Times New Roman"/>
          <w:sz w:val="24"/>
          <w:szCs w:val="24"/>
        </w:rPr>
        <w:t>IurkovIS</w:t>
      </w:r>
      <w:hyperlink r:id="rId9" w:history="1">
        <w:r w:rsidRPr="00EA17D5">
          <w:rPr>
            <w:rStyle w:val="af4"/>
            <w:rFonts w:ascii="Times New Roman" w:hAnsi="Times New Roman"/>
            <w:sz w:val="24"/>
            <w:szCs w:val="24"/>
          </w:rPr>
          <w:t>@mng.slavneft.ru</w:t>
        </w:r>
      </w:hyperlink>
      <w:r w:rsidRPr="004C5826">
        <w:rPr>
          <w:rFonts w:ascii="Times New Roman" w:hAnsi="Times New Roman"/>
          <w:color w:val="003399"/>
          <w:sz w:val="24"/>
          <w:szCs w:val="24"/>
          <w:u w:val="single"/>
        </w:rPr>
        <w:t>;</w:t>
      </w:r>
      <w:r w:rsidRPr="004C5826">
        <w:rPr>
          <w:rFonts w:ascii="Times New Roman" w:hAnsi="Times New Roman"/>
          <w:sz w:val="24"/>
          <w:szCs w:val="24"/>
        </w:rPr>
        <w:t xml:space="preserve"> </w:t>
      </w:r>
    </w:p>
    <w:p w:rsidR="00E67AA2" w:rsidRPr="00E53392" w:rsidRDefault="00E67AA2" w:rsidP="00E67AA2">
      <w:pPr>
        <w:pStyle w:val="aff8"/>
        <w:ind w:firstLine="426"/>
        <w:rPr>
          <w:rFonts w:ascii="Times New Roman" w:hAnsi="Times New Roman"/>
          <w:sz w:val="24"/>
          <w:szCs w:val="24"/>
        </w:rPr>
      </w:pPr>
    </w:p>
    <w:p w:rsidR="00E67AA2" w:rsidRPr="00E53392" w:rsidRDefault="00E67AA2" w:rsidP="00E67AA2">
      <w:pPr>
        <w:pStyle w:val="aff8"/>
        <w:rPr>
          <w:rFonts w:ascii="Times New Roman" w:hAnsi="Times New Roman"/>
          <w:sz w:val="24"/>
          <w:szCs w:val="24"/>
        </w:rPr>
      </w:pPr>
      <w:r w:rsidRPr="00E67AA2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Начальник департамента </w:t>
      </w:r>
      <w:proofErr w:type="spellStart"/>
      <w:r>
        <w:rPr>
          <w:rFonts w:ascii="Times New Roman" w:hAnsi="Times New Roman"/>
          <w:sz w:val="24"/>
          <w:szCs w:val="24"/>
        </w:rPr>
        <w:t>ГиН</w:t>
      </w:r>
      <w:proofErr w:type="spellEnd"/>
    </w:p>
    <w:p w:rsidR="00E67AA2" w:rsidRPr="004C5826" w:rsidRDefault="00E67AA2" w:rsidP="00E67AA2">
      <w:pPr>
        <w:pStyle w:val="aff8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Перегудов Михаил Олегович</w:t>
      </w:r>
    </w:p>
    <w:p w:rsidR="00E67AA2" w:rsidRPr="004C5826" w:rsidRDefault="00E67AA2" w:rsidP="00E67AA2">
      <w:pPr>
        <w:pStyle w:val="aff8"/>
        <w:ind w:firstLine="426"/>
        <w:rPr>
          <w:rFonts w:ascii="Times New Roman" w:hAnsi="Times New Roman"/>
          <w:sz w:val="24"/>
          <w:szCs w:val="24"/>
        </w:rPr>
      </w:pPr>
      <w:r w:rsidRPr="004C5826">
        <w:rPr>
          <w:rFonts w:ascii="Times New Roman" w:hAnsi="Times New Roman"/>
          <w:sz w:val="24"/>
          <w:szCs w:val="24"/>
        </w:rPr>
        <w:t>тел. 8-(34643) 4</w:t>
      </w:r>
      <w:r>
        <w:rPr>
          <w:rFonts w:ascii="Times New Roman" w:hAnsi="Times New Roman"/>
          <w:sz w:val="24"/>
          <w:szCs w:val="24"/>
        </w:rPr>
        <w:t>2-707</w:t>
      </w:r>
      <w:r w:rsidRPr="004C5826">
        <w:rPr>
          <w:rFonts w:ascii="Times New Roman" w:hAnsi="Times New Roman"/>
          <w:sz w:val="24"/>
          <w:szCs w:val="24"/>
        </w:rPr>
        <w:t xml:space="preserve">, </w:t>
      </w:r>
      <w:r w:rsidRPr="00E53392">
        <w:rPr>
          <w:rStyle w:val="af4"/>
          <w:rFonts w:ascii="Times New Roman" w:hAnsi="Times New Roman"/>
          <w:sz w:val="24"/>
          <w:szCs w:val="24"/>
        </w:rPr>
        <w:t>PeregudovMO</w:t>
      </w:r>
      <w:hyperlink r:id="rId10" w:history="1">
        <w:r w:rsidRPr="00EA17D5">
          <w:rPr>
            <w:rStyle w:val="af4"/>
            <w:rFonts w:ascii="Times New Roman" w:hAnsi="Times New Roman"/>
            <w:sz w:val="24"/>
            <w:szCs w:val="24"/>
          </w:rPr>
          <w:t>@mng.slavneft.ru</w:t>
        </w:r>
      </w:hyperlink>
      <w:r w:rsidRPr="004C5826">
        <w:rPr>
          <w:rFonts w:ascii="Times New Roman" w:hAnsi="Times New Roman"/>
          <w:color w:val="003399"/>
          <w:sz w:val="24"/>
          <w:szCs w:val="24"/>
          <w:u w:val="single"/>
        </w:rPr>
        <w:t>;</w:t>
      </w:r>
      <w:r w:rsidRPr="004C5826">
        <w:rPr>
          <w:rFonts w:ascii="Times New Roman" w:hAnsi="Times New Roman"/>
          <w:sz w:val="24"/>
          <w:szCs w:val="24"/>
        </w:rPr>
        <w:t xml:space="preserve"> </w:t>
      </w:r>
    </w:p>
    <w:p w:rsidR="00E67AA2" w:rsidRPr="004C5826" w:rsidRDefault="00E67AA2" w:rsidP="00E67AA2">
      <w:pPr>
        <w:pStyle w:val="aff8"/>
        <w:ind w:firstLine="426"/>
        <w:rPr>
          <w:rFonts w:ascii="Times New Roman" w:hAnsi="Times New Roman"/>
          <w:sz w:val="24"/>
          <w:szCs w:val="24"/>
        </w:rPr>
      </w:pPr>
    </w:p>
    <w:p w:rsidR="00E67AA2" w:rsidRPr="00FF4B5D" w:rsidRDefault="00E67AA2" w:rsidP="00E67AA2">
      <w:pPr>
        <w:ind w:left="426"/>
        <w:jc w:val="both"/>
        <w:rPr>
          <w:b/>
        </w:rPr>
      </w:pPr>
      <w:r w:rsidRPr="00FF4B5D">
        <w:rPr>
          <w:b/>
        </w:rPr>
        <w:t>По вопросам организационного характера обращаться:</w:t>
      </w:r>
    </w:p>
    <w:p w:rsidR="00E67AA2" w:rsidRPr="00FF4B5D" w:rsidRDefault="00E67AA2" w:rsidP="00E67AA2">
      <w:pPr>
        <w:pStyle w:val="aff8"/>
        <w:ind w:left="426"/>
        <w:rPr>
          <w:rFonts w:ascii="Times New Roman" w:hAnsi="Times New Roman"/>
          <w:sz w:val="24"/>
          <w:szCs w:val="24"/>
        </w:rPr>
      </w:pPr>
      <w:r w:rsidRPr="00FF4B5D">
        <w:rPr>
          <w:rFonts w:ascii="Times New Roman" w:hAnsi="Times New Roman"/>
          <w:sz w:val="24"/>
          <w:szCs w:val="24"/>
        </w:rPr>
        <w:t>Ведущий специалист ОЗУВР</w:t>
      </w:r>
    </w:p>
    <w:p w:rsidR="00E67AA2" w:rsidRPr="00FF4B5D" w:rsidRDefault="00E67AA2" w:rsidP="00E67AA2">
      <w:pPr>
        <w:pStyle w:val="aff8"/>
        <w:ind w:left="42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Холостова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Анастасия Сергее</w:t>
      </w:r>
      <w:r w:rsidR="00B270B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на</w:t>
      </w:r>
    </w:p>
    <w:p w:rsidR="00E67AA2" w:rsidRPr="0047158F" w:rsidRDefault="00E67AA2" w:rsidP="00E67AA2">
      <w:pPr>
        <w:pStyle w:val="aff8"/>
        <w:ind w:left="426"/>
        <w:rPr>
          <w:rStyle w:val="af4"/>
        </w:rPr>
      </w:pPr>
      <w:r w:rsidRPr="00FF4B5D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7-147</w:t>
      </w:r>
      <w:r w:rsidRPr="001510F2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1510F2">
        <w:rPr>
          <w:rStyle w:val="af4"/>
          <w:rFonts w:ascii="Times New Roman" w:hAnsi="Times New Roman"/>
          <w:sz w:val="24"/>
          <w:szCs w:val="24"/>
          <w:lang w:val="en-US"/>
        </w:rPr>
        <w:t>H</w:t>
      </w:r>
      <w:r w:rsidR="001510F2" w:rsidRPr="001510F2">
        <w:rPr>
          <w:rStyle w:val="af4"/>
          <w:rFonts w:ascii="Times New Roman" w:hAnsi="Times New Roman"/>
          <w:sz w:val="24"/>
          <w:szCs w:val="24"/>
          <w:lang w:val="en-US"/>
        </w:rPr>
        <w:t>olostovaAS</w:t>
      </w:r>
      <w:proofErr w:type="spellEnd"/>
      <w:r w:rsidRPr="001510F2">
        <w:rPr>
          <w:rStyle w:val="af4"/>
          <w:rFonts w:ascii="Times New Roman" w:hAnsi="Times New Roman"/>
          <w:sz w:val="24"/>
          <w:szCs w:val="24"/>
        </w:rPr>
        <w:t xml:space="preserve">@ </w:t>
      </w:r>
      <w:proofErr w:type="spellStart"/>
      <w:r w:rsidRPr="001510F2">
        <w:rPr>
          <w:rStyle w:val="af4"/>
          <w:rFonts w:ascii="Times New Roman" w:hAnsi="Times New Roman"/>
          <w:sz w:val="24"/>
          <w:szCs w:val="24"/>
          <w:lang w:val="en-US"/>
        </w:rPr>
        <w:t>mng</w:t>
      </w:r>
      <w:proofErr w:type="spellEnd"/>
      <w:r w:rsidRPr="001510F2">
        <w:rPr>
          <w:rStyle w:val="af4"/>
          <w:rFonts w:ascii="Times New Roman" w:hAnsi="Times New Roman"/>
          <w:sz w:val="24"/>
          <w:szCs w:val="24"/>
        </w:rPr>
        <w:t>.</w:t>
      </w:r>
      <w:proofErr w:type="spellStart"/>
      <w:r w:rsidRPr="001510F2">
        <w:rPr>
          <w:rStyle w:val="af4"/>
          <w:rFonts w:ascii="Times New Roman" w:hAnsi="Times New Roman"/>
          <w:sz w:val="24"/>
          <w:szCs w:val="24"/>
          <w:lang w:val="en-US"/>
        </w:rPr>
        <w:t>slavneft</w:t>
      </w:r>
      <w:proofErr w:type="spellEnd"/>
      <w:r w:rsidRPr="001510F2">
        <w:rPr>
          <w:rStyle w:val="af4"/>
          <w:rFonts w:ascii="Times New Roman" w:hAnsi="Times New Roman"/>
          <w:sz w:val="24"/>
          <w:szCs w:val="24"/>
        </w:rPr>
        <w:t>.</w:t>
      </w:r>
      <w:proofErr w:type="spellStart"/>
      <w:r w:rsidRPr="001510F2">
        <w:rPr>
          <w:rStyle w:val="af4"/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5B5CA6" w:rsidRPr="006358F0" w:rsidRDefault="005B5CA6" w:rsidP="005B5CA6">
      <w:pPr>
        <w:pStyle w:val="aff8"/>
        <w:rPr>
          <w:rFonts w:ascii="Times New Roman" w:hAnsi="Times New Roman"/>
          <w:color w:val="1F497D"/>
          <w:sz w:val="24"/>
          <w:szCs w:val="24"/>
        </w:rPr>
      </w:pPr>
    </w:p>
    <w:p w:rsidR="0058480C" w:rsidRPr="005A0C17" w:rsidRDefault="0058480C" w:rsidP="006434DA">
      <w:pPr>
        <w:ind w:left="426"/>
        <w:jc w:val="both"/>
        <w:rPr>
          <w:b/>
        </w:rPr>
      </w:pPr>
      <w:r w:rsidRPr="005A0C17">
        <w:rPr>
          <w:b/>
        </w:rPr>
        <w:t>По вопросам организационного характера обращаться:</w:t>
      </w:r>
    </w:p>
    <w:p w:rsidR="00D3446C" w:rsidRPr="005A0C17" w:rsidRDefault="00450C7C" w:rsidP="006434DA">
      <w:pPr>
        <w:pStyle w:val="aff8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Акимова Елена Викторовна</w:t>
      </w:r>
      <w:r w:rsidR="00D835D3">
        <w:rPr>
          <w:rFonts w:ascii="Times New Roman" w:hAnsi="Times New Roman"/>
          <w:sz w:val="24"/>
          <w:szCs w:val="24"/>
        </w:rPr>
        <w:t>,</w:t>
      </w:r>
    </w:p>
    <w:p w:rsidR="0058480C" w:rsidRPr="005A0C17" w:rsidRDefault="0058480C" w:rsidP="006434DA">
      <w:pPr>
        <w:pStyle w:val="aff8"/>
        <w:ind w:left="426"/>
        <w:rPr>
          <w:rFonts w:ascii="Times New Roman" w:hAnsi="Times New Roman"/>
          <w:sz w:val="24"/>
          <w:szCs w:val="24"/>
        </w:rPr>
      </w:pPr>
      <w:r w:rsidRPr="005A0C17">
        <w:rPr>
          <w:rFonts w:ascii="Times New Roman" w:hAnsi="Times New Roman"/>
          <w:sz w:val="24"/>
          <w:szCs w:val="24"/>
        </w:rPr>
        <w:t>тел. (34643) 46-</w:t>
      </w:r>
      <w:r w:rsidR="00450C7C">
        <w:rPr>
          <w:rFonts w:ascii="Times New Roman" w:hAnsi="Times New Roman"/>
          <w:sz w:val="24"/>
          <w:szCs w:val="24"/>
        </w:rPr>
        <w:t>021</w:t>
      </w:r>
      <w:r w:rsidRPr="005A0C17">
        <w:rPr>
          <w:rFonts w:ascii="Times New Roman" w:hAnsi="Times New Roman"/>
          <w:sz w:val="24"/>
          <w:szCs w:val="24"/>
        </w:rPr>
        <w:t xml:space="preserve">, </w:t>
      </w:r>
      <w:r w:rsidR="005B5CA6"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Tender</w:t>
      </w:r>
      <w:r w:rsidR="005B5CA6" w:rsidRPr="00FC5570">
        <w:rPr>
          <w:rFonts w:ascii="Times New Roman" w:hAnsi="Times New Roman"/>
          <w:color w:val="1F497D"/>
          <w:sz w:val="24"/>
          <w:szCs w:val="24"/>
          <w:u w:val="single"/>
        </w:rPr>
        <w:t>@</w:t>
      </w:r>
      <w:proofErr w:type="spellStart"/>
      <w:r w:rsidR="005B5CA6"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mng</w:t>
      </w:r>
      <w:proofErr w:type="spellEnd"/>
      <w:r w:rsidR="005B5CA6" w:rsidRPr="00FC5570">
        <w:rPr>
          <w:rFonts w:ascii="Times New Roman" w:hAnsi="Times New Roman"/>
          <w:color w:val="1F497D"/>
          <w:sz w:val="24"/>
          <w:szCs w:val="24"/>
          <w:u w:val="single"/>
        </w:rPr>
        <w:t>.</w:t>
      </w:r>
      <w:proofErr w:type="spellStart"/>
      <w:r w:rsidR="005B5CA6"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slavneft</w:t>
      </w:r>
      <w:proofErr w:type="spellEnd"/>
      <w:r w:rsidR="005B5CA6" w:rsidRPr="00FC5570">
        <w:rPr>
          <w:rFonts w:ascii="Times New Roman" w:hAnsi="Times New Roman"/>
          <w:color w:val="1F497D"/>
          <w:sz w:val="24"/>
          <w:szCs w:val="24"/>
          <w:u w:val="single"/>
        </w:rPr>
        <w:t>.</w:t>
      </w:r>
      <w:proofErr w:type="spellStart"/>
      <w:r w:rsidR="005B5CA6"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ru</w:t>
      </w:r>
      <w:proofErr w:type="spellEnd"/>
    </w:p>
    <w:p w:rsidR="00010018" w:rsidRPr="005A0C17" w:rsidRDefault="00010018" w:rsidP="00010018">
      <w:pPr>
        <w:jc w:val="both"/>
        <w:rPr>
          <w:sz w:val="22"/>
          <w:szCs w:val="22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</w:t>
      </w:r>
      <w:r w:rsidR="00D8410C">
        <w:lastRenderedPageBreak/>
        <w:t xml:space="preserve">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C0340A">
        <w:rPr>
          <w:b/>
          <w:sz w:val="22"/>
          <w:szCs w:val="22"/>
        </w:rPr>
        <w:t>55</w:t>
      </w:r>
      <w:r w:rsidR="0016341E">
        <w:rPr>
          <w:b/>
          <w:sz w:val="22"/>
          <w:szCs w:val="22"/>
        </w:rPr>
        <w:t>7</w:t>
      </w:r>
      <w:r w:rsidRPr="000A24D5">
        <w:rPr>
          <w:b/>
          <w:sz w:val="22"/>
          <w:szCs w:val="22"/>
        </w:rPr>
        <w:t xml:space="preserve">/ТК/2014 от </w:t>
      </w:r>
      <w:r w:rsidR="00BA4697">
        <w:rPr>
          <w:b/>
          <w:sz w:val="22"/>
          <w:szCs w:val="22"/>
        </w:rPr>
        <w:t>07.10</w:t>
      </w:r>
      <w:r w:rsidR="002B0AAA">
        <w:rPr>
          <w:b/>
          <w:sz w:val="22"/>
          <w:szCs w:val="22"/>
        </w:rPr>
        <w:t>.</w:t>
      </w:r>
      <w:r w:rsidRPr="000A24D5">
        <w:rPr>
          <w:b/>
          <w:sz w:val="22"/>
          <w:szCs w:val="22"/>
        </w:rPr>
        <w:t>2014г.,</w:t>
      </w:r>
      <w:r w:rsidRPr="005A0C17">
        <w:rPr>
          <w:sz w:val="22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BE0DC5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483878" w:rsidRDefault="00735EAF" w:rsidP="00735EAF">
      <w:pPr>
        <w:autoSpaceDE w:val="0"/>
        <w:autoSpaceDN w:val="0"/>
        <w:adjustRightInd w:val="0"/>
        <w:ind w:left="42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83878">
        <w:rPr>
          <w:b/>
          <w:sz w:val="22"/>
          <w:szCs w:val="22"/>
        </w:rPr>
        <w:t>Договора</w:t>
      </w:r>
      <w:r w:rsidR="00A71753" w:rsidRPr="00A71753">
        <w:t xml:space="preserve"> </w:t>
      </w:r>
      <w:r w:rsidR="00A71753" w:rsidRPr="00A71753">
        <w:rPr>
          <w:b/>
          <w:sz w:val="22"/>
          <w:szCs w:val="22"/>
        </w:rPr>
        <w:t>на выполнение работ по подготовке планов развития горных работ</w:t>
      </w:r>
      <w:r w:rsidRPr="00483878">
        <w:rPr>
          <w:b/>
          <w:sz w:val="22"/>
          <w:szCs w:val="22"/>
        </w:rPr>
        <w:t xml:space="preserve"> </w:t>
      </w:r>
      <w:r w:rsidRPr="00483878">
        <w:rPr>
          <w:sz w:val="22"/>
          <w:szCs w:val="22"/>
        </w:rPr>
        <w:t>на месторождениях ОАО «СН-МНГ»  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E67AA2">
              <w:rPr>
                <w:szCs w:val="16"/>
              </w:rPr>
              <w:t>01.11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E67AA2">
              <w:rPr>
                <w:szCs w:val="16"/>
              </w:rPr>
              <w:t>4</w:t>
            </w:r>
            <w:r w:rsidR="00C16A12">
              <w:rPr>
                <w:szCs w:val="16"/>
              </w:rPr>
              <w:t>г. -31.</w:t>
            </w:r>
            <w:r w:rsidR="00E67AA2">
              <w:rPr>
                <w:szCs w:val="16"/>
              </w:rPr>
              <w:t>01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8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декабря </w:t>
      </w:r>
      <w:r w:rsidRPr="005719FC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4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8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BA4697">
            <w:pPr>
              <w:jc w:val="right"/>
            </w:pPr>
            <w:r w:rsidRPr="000127F9">
              <w:t>Протокол  № __</w:t>
            </w:r>
            <w:r w:rsidR="00146A65">
              <w:t>_</w:t>
            </w:r>
            <w:r w:rsidR="00BA4697">
              <w:t>306</w:t>
            </w:r>
            <w:r w:rsidRPr="000127F9">
              <w:t>______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BA4697">
            <w:pPr>
              <w:jc w:val="right"/>
            </w:pPr>
            <w:r w:rsidRPr="000127F9">
              <w:t>«</w:t>
            </w:r>
            <w:r w:rsidR="00146A65">
              <w:t>_</w:t>
            </w:r>
            <w:r w:rsidR="00BA4697">
              <w:t>07</w:t>
            </w:r>
            <w:r w:rsidR="00146A65">
              <w:t>_</w:t>
            </w:r>
            <w:r w:rsidRPr="000127F9">
              <w:t>» ___</w:t>
            </w:r>
            <w:r w:rsidR="00146A65">
              <w:t>_</w:t>
            </w:r>
            <w:r w:rsidR="00BA4697">
              <w:t>10</w:t>
            </w:r>
            <w:bookmarkStart w:id="0" w:name="_GoBack"/>
            <w:bookmarkEnd w:id="0"/>
            <w:r w:rsidRPr="000127F9">
              <w:t>_____</w:t>
            </w:r>
            <w:r w:rsidR="0091404E">
              <w:t>_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</w:p>
    <w:p w:rsidR="008E199F" w:rsidRPr="006F7034" w:rsidRDefault="008E199F" w:rsidP="008E199F">
      <w:pPr>
        <w:ind w:firstLine="708"/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ТРЕБОВАНИЯ К ПРЕДМЕТУ ОФЕРТЫ</w:t>
      </w:r>
    </w:p>
    <w:p w:rsidR="008E199F" w:rsidRPr="006F7034" w:rsidRDefault="008E199F" w:rsidP="008E199F">
      <w:pPr>
        <w:ind w:firstLine="708"/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(техническое задание)</w:t>
      </w:r>
    </w:p>
    <w:p w:rsidR="008E199F" w:rsidRPr="006F7034" w:rsidRDefault="008E199F" w:rsidP="008E199F">
      <w:pPr>
        <w:ind w:firstLine="708"/>
        <w:jc w:val="right"/>
        <w:rPr>
          <w:sz w:val="22"/>
          <w:szCs w:val="22"/>
        </w:rPr>
      </w:pPr>
    </w:p>
    <w:p w:rsidR="008E199F" w:rsidRDefault="008E199F" w:rsidP="008E199F">
      <w:pPr>
        <w:autoSpaceDE w:val="0"/>
        <w:autoSpaceDN w:val="0"/>
        <w:adjustRightInd w:val="0"/>
        <w:jc w:val="both"/>
        <w:rPr>
          <w:i/>
          <w:iCs/>
          <w:szCs w:val="16"/>
        </w:rPr>
      </w:pPr>
      <w:r w:rsidRPr="0085490F">
        <w:rPr>
          <w:i/>
          <w:sz w:val="22"/>
        </w:rPr>
        <w:t>1</w:t>
      </w:r>
      <w:r>
        <w:rPr>
          <w:i/>
          <w:iCs/>
          <w:szCs w:val="16"/>
        </w:rPr>
        <w:t xml:space="preserve">.Общие положения.      </w:t>
      </w:r>
    </w:p>
    <w:p w:rsidR="008E199F" w:rsidRPr="00607501" w:rsidRDefault="008E199F" w:rsidP="008E199F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>
        <w:rPr>
          <w:szCs w:val="16"/>
          <w:u w:val="single"/>
        </w:rPr>
        <w:t>Вид выполнения работ</w:t>
      </w:r>
      <w:r>
        <w:rPr>
          <w:szCs w:val="16"/>
        </w:rPr>
        <w:t xml:space="preserve">:  </w:t>
      </w:r>
    </w:p>
    <w:p w:rsidR="008E199F" w:rsidRPr="0085490F" w:rsidRDefault="008E199F" w:rsidP="008E199F">
      <w:pPr>
        <w:autoSpaceDE w:val="0"/>
        <w:autoSpaceDN w:val="0"/>
        <w:adjustRightInd w:val="0"/>
        <w:ind w:left="420"/>
        <w:jc w:val="both"/>
        <w:rPr>
          <w:b/>
        </w:rPr>
      </w:pPr>
      <w:r w:rsidRPr="00F63D76">
        <w:t xml:space="preserve">Тип </w:t>
      </w:r>
      <w:r w:rsidRPr="001207E9">
        <w:t>сдел</w:t>
      </w:r>
      <w:r>
        <w:t>ки:</w:t>
      </w:r>
      <w:r w:rsidRPr="001207E9">
        <w:t xml:space="preserve"> </w:t>
      </w:r>
      <w:r w:rsidRPr="00C11A39">
        <w:rPr>
          <w:b/>
        </w:rPr>
        <w:t xml:space="preserve">№ </w:t>
      </w:r>
      <w:r w:rsidRPr="001344C7">
        <w:rPr>
          <w:b/>
        </w:rPr>
        <w:t>426</w:t>
      </w:r>
      <w:r>
        <w:rPr>
          <w:b/>
        </w:rPr>
        <w:t xml:space="preserve"> </w:t>
      </w:r>
      <w:r w:rsidRPr="005A0C17">
        <w:rPr>
          <w:b/>
        </w:rPr>
        <w:t>«</w:t>
      </w:r>
      <w:r>
        <w:rPr>
          <w:b/>
        </w:rPr>
        <w:t>Подготовка планов работ по месторождениям</w:t>
      </w:r>
      <w:r w:rsidRPr="005A0C17">
        <w:rPr>
          <w:b/>
        </w:rPr>
        <w:t>»</w:t>
      </w:r>
    </w:p>
    <w:p w:rsidR="008E199F" w:rsidRDefault="008E199F" w:rsidP="008E199F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>
        <w:rPr>
          <w:szCs w:val="16"/>
          <w:u w:val="single"/>
        </w:rPr>
        <w:t>Заказчик</w:t>
      </w:r>
      <w:r>
        <w:rPr>
          <w:szCs w:val="16"/>
        </w:rPr>
        <w:t>: ОАО «СН-МНГ».</w:t>
      </w:r>
    </w:p>
    <w:p w:rsidR="008E199F" w:rsidRPr="003B40DB" w:rsidRDefault="008E199F" w:rsidP="008E199F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  <w:u w:val="single"/>
        </w:rPr>
      </w:pPr>
      <w:r w:rsidRPr="003B40DB">
        <w:rPr>
          <w:szCs w:val="16"/>
          <w:u w:val="single"/>
        </w:rPr>
        <w:t>Наименование работ</w:t>
      </w:r>
    </w:p>
    <w:p w:rsidR="008E199F" w:rsidRPr="005E640E" w:rsidRDefault="008E199F" w:rsidP="008E199F">
      <w:pPr>
        <w:autoSpaceDE w:val="0"/>
        <w:autoSpaceDN w:val="0"/>
        <w:adjustRightInd w:val="0"/>
        <w:jc w:val="both"/>
        <w:rPr>
          <w:szCs w:val="16"/>
        </w:rPr>
      </w:pPr>
      <w:r>
        <w:rPr>
          <w:szCs w:val="16"/>
        </w:rPr>
        <w:t xml:space="preserve">             </w:t>
      </w:r>
      <w:r w:rsidRPr="005E640E">
        <w:rPr>
          <w:szCs w:val="16"/>
        </w:rPr>
        <w:t>Разработка планов развития  горных  работ на 2015 год</w:t>
      </w:r>
    </w:p>
    <w:p w:rsidR="008E199F" w:rsidRPr="003B40DB" w:rsidRDefault="008E199F" w:rsidP="008E199F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  <w:u w:val="single"/>
        </w:rPr>
      </w:pPr>
      <w:r w:rsidRPr="003B40DB">
        <w:rPr>
          <w:szCs w:val="16"/>
          <w:u w:val="single"/>
        </w:rPr>
        <w:t>Цели работ</w:t>
      </w:r>
    </w:p>
    <w:p w:rsidR="008E199F" w:rsidRDefault="008E199F" w:rsidP="008E199F">
      <w:pPr>
        <w:autoSpaceDE w:val="0"/>
        <w:autoSpaceDN w:val="0"/>
        <w:adjustRightInd w:val="0"/>
        <w:jc w:val="both"/>
        <w:rPr>
          <w:szCs w:val="16"/>
        </w:rPr>
      </w:pPr>
      <w:r>
        <w:rPr>
          <w:szCs w:val="16"/>
        </w:rPr>
        <w:t xml:space="preserve">              р</w:t>
      </w:r>
      <w:r w:rsidRPr="005E640E">
        <w:rPr>
          <w:szCs w:val="16"/>
        </w:rPr>
        <w:t>азработка планов развития  горных работ на 2015 год</w:t>
      </w:r>
    </w:p>
    <w:p w:rsidR="008E199F" w:rsidRDefault="008E199F" w:rsidP="008E199F">
      <w:pPr>
        <w:autoSpaceDE w:val="0"/>
        <w:autoSpaceDN w:val="0"/>
        <w:adjustRightInd w:val="0"/>
        <w:ind w:left="780"/>
        <w:jc w:val="both"/>
        <w:rPr>
          <w:szCs w:val="16"/>
        </w:rPr>
      </w:pPr>
    </w:p>
    <w:p w:rsidR="008E199F" w:rsidRDefault="008E199F" w:rsidP="008E199F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>
        <w:rPr>
          <w:szCs w:val="16"/>
          <w:u w:val="single"/>
        </w:rPr>
        <w:t>Плановые сроки выполнения работ по лотам</w:t>
      </w:r>
      <w:r>
        <w:rPr>
          <w:szCs w:val="16"/>
        </w:rPr>
        <w:t>:</w:t>
      </w:r>
    </w:p>
    <w:p w:rsidR="008E199F" w:rsidRPr="00614900" w:rsidRDefault="008E199F" w:rsidP="008E199F">
      <w:pPr>
        <w:autoSpaceDE w:val="0"/>
        <w:autoSpaceDN w:val="0"/>
        <w:adjustRightInd w:val="0"/>
        <w:ind w:left="780"/>
        <w:jc w:val="both"/>
      </w:pPr>
      <w:r w:rsidRPr="00614900">
        <w:rPr>
          <w:szCs w:val="16"/>
        </w:rPr>
        <w:t xml:space="preserve">Лот </w:t>
      </w:r>
      <w:r>
        <w:rPr>
          <w:szCs w:val="16"/>
        </w:rPr>
        <w:t xml:space="preserve">№ 426 </w:t>
      </w:r>
      <w:r w:rsidRPr="00614900">
        <w:rPr>
          <w:szCs w:val="16"/>
        </w:rPr>
        <w:t xml:space="preserve"> – </w:t>
      </w:r>
      <w:r w:rsidR="00E67AA2">
        <w:t>01</w:t>
      </w:r>
      <w:r>
        <w:t>.</w:t>
      </w:r>
      <w:r w:rsidR="00E67AA2">
        <w:t>11</w:t>
      </w:r>
      <w:r w:rsidRPr="00614900">
        <w:t xml:space="preserve">.2014г. – </w:t>
      </w:r>
      <w:r w:rsidR="00E67AA2">
        <w:t>31</w:t>
      </w:r>
      <w:r w:rsidRPr="00614900">
        <w:t>.</w:t>
      </w:r>
      <w:r w:rsidR="00E67AA2">
        <w:t>01</w:t>
      </w:r>
      <w:r w:rsidRPr="00614900">
        <w:t>.201</w:t>
      </w:r>
      <w:r w:rsidR="00E67AA2">
        <w:t>5</w:t>
      </w:r>
      <w:r w:rsidRPr="00614900">
        <w:t>г.</w:t>
      </w:r>
    </w:p>
    <w:p w:rsidR="008E199F" w:rsidRPr="00614900" w:rsidRDefault="008E199F" w:rsidP="008E199F">
      <w:pPr>
        <w:autoSpaceDE w:val="0"/>
        <w:autoSpaceDN w:val="0"/>
        <w:adjustRightInd w:val="0"/>
        <w:ind w:left="780"/>
        <w:jc w:val="both"/>
        <w:rPr>
          <w:b/>
          <w:szCs w:val="16"/>
        </w:rPr>
      </w:pPr>
    </w:p>
    <w:p w:rsidR="008E199F" w:rsidRPr="00614900" w:rsidRDefault="008E199F" w:rsidP="008E199F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</w:pPr>
      <w:r w:rsidRPr="00D6081E">
        <w:rPr>
          <w:u w:val="single"/>
        </w:rPr>
        <w:t>Стартовая стоимость договора</w:t>
      </w:r>
      <w:r w:rsidRPr="00614900">
        <w:t xml:space="preserve"> (в рублях без учета НДС 18%): </w:t>
      </w:r>
    </w:p>
    <w:p w:rsidR="008E199F" w:rsidRPr="00614900" w:rsidRDefault="008E199F" w:rsidP="008E199F">
      <w:pPr>
        <w:autoSpaceDE w:val="0"/>
        <w:autoSpaceDN w:val="0"/>
        <w:adjustRightInd w:val="0"/>
        <w:ind w:left="71" w:firstLine="709"/>
        <w:jc w:val="both"/>
        <w:rPr>
          <w:szCs w:val="16"/>
        </w:rPr>
      </w:pPr>
      <w:r>
        <w:rPr>
          <w:szCs w:val="16"/>
        </w:rPr>
        <w:t xml:space="preserve">Лот № 426 </w:t>
      </w:r>
      <w:r w:rsidRPr="00614900">
        <w:rPr>
          <w:szCs w:val="16"/>
        </w:rPr>
        <w:t xml:space="preserve">(Форма </w:t>
      </w:r>
      <w:r>
        <w:rPr>
          <w:szCs w:val="16"/>
        </w:rPr>
        <w:t>4</w:t>
      </w:r>
      <w:r w:rsidRPr="00614900">
        <w:rPr>
          <w:szCs w:val="16"/>
        </w:rPr>
        <w:t>) – без объявления стартовой стоимост</w:t>
      </w:r>
      <w:r>
        <w:rPr>
          <w:szCs w:val="16"/>
        </w:rPr>
        <w:t>и.</w:t>
      </w:r>
    </w:p>
    <w:p w:rsidR="008E199F" w:rsidRDefault="008E199F" w:rsidP="008E199F">
      <w:pPr>
        <w:autoSpaceDE w:val="0"/>
        <w:autoSpaceDN w:val="0"/>
        <w:adjustRightInd w:val="0"/>
        <w:ind w:left="420"/>
        <w:jc w:val="both"/>
        <w:rPr>
          <w:i/>
          <w:iCs/>
          <w:szCs w:val="16"/>
        </w:rPr>
      </w:pPr>
    </w:p>
    <w:p w:rsidR="008E199F" w:rsidRPr="005E640E" w:rsidRDefault="008E199F" w:rsidP="008E199F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i/>
          <w:iCs/>
          <w:szCs w:val="16"/>
        </w:rPr>
      </w:pPr>
      <w:r>
        <w:rPr>
          <w:szCs w:val="16"/>
          <w:u w:val="single"/>
        </w:rPr>
        <w:t>Порядок оплаты</w:t>
      </w:r>
      <w:r>
        <w:rPr>
          <w:szCs w:val="16"/>
        </w:rPr>
        <w:t>: оплата производится путем перечисления денежных средств на расчетный счет подрядчика на основании счета – фактуры и подписанного акта выполненных работ в течение 90 календарных дней, но не ранее 60 календарных дней с момента получения оригинала счета-фактуры.</w:t>
      </w:r>
    </w:p>
    <w:p w:rsidR="008E199F" w:rsidRDefault="008E199F" w:rsidP="008E199F">
      <w:pPr>
        <w:autoSpaceDE w:val="0"/>
        <w:autoSpaceDN w:val="0"/>
        <w:adjustRightInd w:val="0"/>
        <w:jc w:val="both"/>
        <w:rPr>
          <w:i/>
          <w:iCs/>
          <w:szCs w:val="16"/>
        </w:rPr>
      </w:pPr>
    </w:p>
    <w:p w:rsidR="008E199F" w:rsidRPr="005E640E" w:rsidRDefault="008E199F" w:rsidP="008E199F">
      <w:pPr>
        <w:autoSpaceDE w:val="0"/>
        <w:autoSpaceDN w:val="0"/>
        <w:adjustRightInd w:val="0"/>
        <w:jc w:val="both"/>
        <w:rPr>
          <w:i/>
          <w:sz w:val="22"/>
        </w:rPr>
      </w:pPr>
      <w:r w:rsidRPr="005E640E">
        <w:rPr>
          <w:i/>
          <w:sz w:val="22"/>
        </w:rPr>
        <w:t>3.</w:t>
      </w:r>
      <w:r w:rsidRPr="005E640E">
        <w:rPr>
          <w:i/>
          <w:sz w:val="22"/>
        </w:rPr>
        <w:tab/>
        <w:t>Порядок (последовательность, этапы) выполнения работ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 xml:space="preserve">Сбор  материалов  и  защита  планов  развития  горных  работ  на  2015год  в </w:t>
      </w:r>
      <w:proofErr w:type="spellStart"/>
      <w:r w:rsidRPr="005E640E">
        <w:rPr>
          <w:szCs w:val="16"/>
        </w:rPr>
        <w:t>Ростехнадзоре</w:t>
      </w:r>
      <w:proofErr w:type="spellEnd"/>
      <w:r w:rsidRPr="005E640E">
        <w:rPr>
          <w:szCs w:val="16"/>
        </w:rPr>
        <w:t>.</w:t>
      </w:r>
    </w:p>
    <w:p w:rsidR="008E199F" w:rsidRDefault="008E199F" w:rsidP="008E199F">
      <w:pPr>
        <w:rPr>
          <w:szCs w:val="16"/>
        </w:rPr>
      </w:pPr>
    </w:p>
    <w:p w:rsidR="008E199F" w:rsidRPr="005E640E" w:rsidRDefault="008E199F" w:rsidP="008E199F">
      <w:pPr>
        <w:autoSpaceDE w:val="0"/>
        <w:autoSpaceDN w:val="0"/>
        <w:adjustRightInd w:val="0"/>
        <w:jc w:val="both"/>
        <w:rPr>
          <w:i/>
          <w:sz w:val="22"/>
        </w:rPr>
      </w:pPr>
      <w:r w:rsidRPr="005E640E">
        <w:rPr>
          <w:i/>
          <w:sz w:val="22"/>
        </w:rPr>
        <w:t>4.</w:t>
      </w:r>
      <w:r w:rsidRPr="005E640E">
        <w:rPr>
          <w:i/>
          <w:sz w:val="22"/>
        </w:rPr>
        <w:tab/>
        <w:t>Требования к качеству работ, в том числе технология производства работ, методы производства работ, организационно-технологическая схема производства работ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>1.</w:t>
      </w:r>
      <w:r w:rsidRPr="005E640E">
        <w:rPr>
          <w:szCs w:val="16"/>
        </w:rPr>
        <w:tab/>
        <w:t xml:space="preserve">Содержание работы: </w:t>
      </w:r>
    </w:p>
    <w:p w:rsidR="008E199F" w:rsidRPr="005E640E" w:rsidRDefault="008E199F" w:rsidP="008E199F">
      <w:pPr>
        <w:rPr>
          <w:szCs w:val="16"/>
        </w:rPr>
      </w:pPr>
    </w:p>
    <w:p w:rsidR="008E199F" w:rsidRPr="0056617E" w:rsidRDefault="008E199F" w:rsidP="008E199F">
      <w:pPr>
        <w:rPr>
          <w:szCs w:val="16"/>
        </w:rPr>
      </w:pPr>
      <w:r w:rsidRPr="005E640E">
        <w:rPr>
          <w:szCs w:val="16"/>
        </w:rPr>
        <w:t>•</w:t>
      </w:r>
      <w:r w:rsidRPr="005E640E">
        <w:rPr>
          <w:szCs w:val="16"/>
        </w:rPr>
        <w:tab/>
        <w:t xml:space="preserve">Информация   о  </w:t>
      </w:r>
      <w:proofErr w:type="spellStart"/>
      <w:r w:rsidRPr="005E640E">
        <w:rPr>
          <w:szCs w:val="16"/>
        </w:rPr>
        <w:t>недропользователе</w:t>
      </w:r>
      <w:proofErr w:type="spellEnd"/>
      <w:r>
        <w:rPr>
          <w:szCs w:val="16"/>
        </w:rPr>
        <w:t>;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>•</w:t>
      </w:r>
      <w:r w:rsidRPr="005E640E">
        <w:rPr>
          <w:szCs w:val="16"/>
        </w:rPr>
        <w:tab/>
        <w:t>Геологическое  строение  месторождений</w:t>
      </w:r>
      <w:r>
        <w:rPr>
          <w:szCs w:val="16"/>
        </w:rPr>
        <w:t>;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>•</w:t>
      </w:r>
      <w:r w:rsidRPr="005E640E">
        <w:rPr>
          <w:szCs w:val="16"/>
        </w:rPr>
        <w:tab/>
        <w:t>Основные  положения  действующих  проектных  документов</w:t>
      </w:r>
      <w:r>
        <w:rPr>
          <w:szCs w:val="16"/>
        </w:rPr>
        <w:t>;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>•</w:t>
      </w:r>
      <w:r w:rsidRPr="005E640E">
        <w:rPr>
          <w:szCs w:val="16"/>
        </w:rPr>
        <w:tab/>
        <w:t>Состояние  разработки</w:t>
      </w:r>
      <w:r>
        <w:rPr>
          <w:szCs w:val="16"/>
        </w:rPr>
        <w:t>;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>•</w:t>
      </w:r>
      <w:r w:rsidRPr="005E640E">
        <w:rPr>
          <w:szCs w:val="16"/>
        </w:rPr>
        <w:tab/>
        <w:t xml:space="preserve">Сравнительная  характеристика ожидаемых  </w:t>
      </w:r>
      <w:proofErr w:type="gramStart"/>
      <w:r w:rsidRPr="005E640E">
        <w:rPr>
          <w:szCs w:val="16"/>
        </w:rPr>
        <w:t>на  конец</w:t>
      </w:r>
      <w:proofErr w:type="gramEnd"/>
      <w:r w:rsidRPr="005E640E">
        <w:rPr>
          <w:szCs w:val="16"/>
        </w:rPr>
        <w:t xml:space="preserve">  2014года  и  плановых  на  2</w:t>
      </w:r>
      <w:r>
        <w:rPr>
          <w:szCs w:val="16"/>
        </w:rPr>
        <w:t>015год  показателей  разработки;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>•</w:t>
      </w:r>
      <w:r w:rsidRPr="005E640E">
        <w:rPr>
          <w:szCs w:val="16"/>
        </w:rPr>
        <w:tab/>
        <w:t>Сопоставление  проектного  и  ожидаемого  фонда  скважин  в  2014  и  2015годах.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>•</w:t>
      </w:r>
      <w:r w:rsidRPr="005E640E">
        <w:rPr>
          <w:szCs w:val="16"/>
        </w:rPr>
        <w:tab/>
        <w:t>Маркшейдерс</w:t>
      </w:r>
      <w:r>
        <w:rPr>
          <w:szCs w:val="16"/>
        </w:rPr>
        <w:t>кое  обеспечение  горных  работ;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>•</w:t>
      </w:r>
      <w:r w:rsidRPr="005E640E">
        <w:rPr>
          <w:szCs w:val="16"/>
        </w:rPr>
        <w:tab/>
        <w:t>Программа исследовательских  работ  по  объектам производственной  деятельности</w:t>
      </w:r>
      <w:r>
        <w:rPr>
          <w:szCs w:val="16"/>
        </w:rPr>
        <w:t>;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>•</w:t>
      </w:r>
      <w:r w:rsidRPr="005E640E">
        <w:rPr>
          <w:szCs w:val="16"/>
        </w:rPr>
        <w:tab/>
        <w:t>Выполнение технических   мероприятий  по  совершенствованию</w:t>
      </w:r>
      <w:r>
        <w:rPr>
          <w:szCs w:val="16"/>
        </w:rPr>
        <w:t>;</w:t>
      </w:r>
      <w:r w:rsidRPr="005E640E">
        <w:rPr>
          <w:szCs w:val="16"/>
        </w:rPr>
        <w:t xml:space="preserve">           технологического  процесса  сбора, подготовки  и  транспорта  нефти  в  2014году  и  запланированные  мероприятия  на  2015год</w:t>
      </w:r>
      <w:r>
        <w:rPr>
          <w:szCs w:val="16"/>
        </w:rPr>
        <w:t>;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>•</w:t>
      </w:r>
      <w:r w:rsidRPr="005E640E">
        <w:rPr>
          <w:szCs w:val="16"/>
        </w:rPr>
        <w:tab/>
        <w:t>Нормативы  технологических  потерь  по  нефти  и  газу</w:t>
      </w:r>
      <w:r>
        <w:rPr>
          <w:szCs w:val="16"/>
        </w:rPr>
        <w:t>;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>•</w:t>
      </w:r>
      <w:r w:rsidRPr="005E640E">
        <w:rPr>
          <w:szCs w:val="16"/>
        </w:rPr>
        <w:tab/>
        <w:t>Программа  мероприятий  по  повышению  уровня  рационального  использования  попутного  газа</w:t>
      </w:r>
      <w:r>
        <w:rPr>
          <w:szCs w:val="16"/>
        </w:rPr>
        <w:t>;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lastRenderedPageBreak/>
        <w:t>•</w:t>
      </w:r>
      <w:r w:rsidRPr="005E640E">
        <w:rPr>
          <w:szCs w:val="16"/>
        </w:rPr>
        <w:tab/>
        <w:t>Выполнение  мероприятий  в  2014г. и  план  мероприятий  на  2015г</w:t>
      </w:r>
      <w:r>
        <w:rPr>
          <w:szCs w:val="16"/>
        </w:rPr>
        <w:t>. по  охране  окружающей  среды;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>•</w:t>
      </w:r>
      <w:r w:rsidRPr="005E640E">
        <w:rPr>
          <w:szCs w:val="16"/>
        </w:rPr>
        <w:tab/>
        <w:t xml:space="preserve">Промышленная  безопасность (перечень  выполненных мероприятий  в  2014году  и  </w:t>
      </w:r>
      <w:r>
        <w:rPr>
          <w:szCs w:val="16"/>
        </w:rPr>
        <w:t>план  мероприятий  на  2015год);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>•</w:t>
      </w:r>
      <w:r w:rsidRPr="005E640E">
        <w:rPr>
          <w:szCs w:val="16"/>
        </w:rPr>
        <w:tab/>
        <w:t>Сведения  о  технической  обоснованности  расчетов  платежей  за  пользование  природными  ресурсами</w:t>
      </w:r>
      <w:r>
        <w:rPr>
          <w:szCs w:val="16"/>
        </w:rPr>
        <w:t>.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>2.</w:t>
      </w:r>
      <w:r w:rsidRPr="005E640E">
        <w:rPr>
          <w:szCs w:val="16"/>
        </w:rPr>
        <w:tab/>
        <w:t xml:space="preserve">Требования к качеству работ (в </w:t>
      </w:r>
      <w:proofErr w:type="spellStart"/>
      <w:r w:rsidRPr="005E640E">
        <w:rPr>
          <w:szCs w:val="16"/>
        </w:rPr>
        <w:t>т.ч</w:t>
      </w:r>
      <w:proofErr w:type="spellEnd"/>
      <w:r w:rsidRPr="005E640E">
        <w:rPr>
          <w:szCs w:val="16"/>
        </w:rPr>
        <w:t>. технология производства работ, методики оказания и т.д.):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>Работы  выполнять в соответствии с требованиями руководящих документов: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>•</w:t>
      </w:r>
      <w:r w:rsidRPr="005E640E">
        <w:rPr>
          <w:szCs w:val="16"/>
        </w:rPr>
        <w:tab/>
        <w:t>«Правила разработки нефтяных и газонефтяных месторождений». Москва,1987г.,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>•</w:t>
      </w:r>
      <w:r w:rsidRPr="005E640E">
        <w:rPr>
          <w:szCs w:val="16"/>
        </w:rPr>
        <w:tab/>
        <w:t>«Правила охраны недр»  (см. Постановление Госгортехнадзора РФ от 6 июня 2003г. №71 «Об утверждении» Правил охраны недр»);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>•</w:t>
      </w:r>
      <w:r w:rsidRPr="005E640E">
        <w:rPr>
          <w:szCs w:val="16"/>
        </w:rPr>
        <w:tab/>
        <w:t xml:space="preserve">РД -07-330-99   «Инструкция  по  согласованию годовых планов  развития  горных  работ»,  утверждена   Постановление Госгортехнадзора России  от 24.11.1999г.  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>•</w:t>
      </w:r>
      <w:r w:rsidRPr="005E640E">
        <w:rPr>
          <w:szCs w:val="16"/>
        </w:rPr>
        <w:tab/>
        <w:t xml:space="preserve">Рекомендации  </w:t>
      </w:r>
      <w:proofErr w:type="spellStart"/>
      <w:r w:rsidRPr="005E640E">
        <w:rPr>
          <w:szCs w:val="16"/>
        </w:rPr>
        <w:t>Ростехнадзора</w:t>
      </w:r>
      <w:proofErr w:type="spellEnd"/>
      <w:r w:rsidRPr="005E640E">
        <w:rPr>
          <w:szCs w:val="16"/>
        </w:rPr>
        <w:t xml:space="preserve">  по  составлению  годовых  планов  развития  горных  работ</w:t>
      </w:r>
    </w:p>
    <w:p w:rsidR="008E199F" w:rsidRPr="005E640E" w:rsidRDefault="008E199F" w:rsidP="008E199F">
      <w:pPr>
        <w:rPr>
          <w:szCs w:val="16"/>
        </w:rPr>
      </w:pPr>
    </w:p>
    <w:p w:rsidR="008E199F" w:rsidRPr="0056617E" w:rsidRDefault="008E199F" w:rsidP="008E199F">
      <w:pPr>
        <w:rPr>
          <w:i/>
          <w:szCs w:val="16"/>
        </w:rPr>
      </w:pPr>
      <w:r w:rsidRPr="0056617E">
        <w:rPr>
          <w:i/>
          <w:szCs w:val="16"/>
        </w:rPr>
        <w:t xml:space="preserve">5. Условия привлечения подрядчиков, </w:t>
      </w:r>
      <w:proofErr w:type="spellStart"/>
      <w:r w:rsidRPr="0056617E">
        <w:rPr>
          <w:i/>
          <w:szCs w:val="16"/>
        </w:rPr>
        <w:t>субисполнителей</w:t>
      </w:r>
      <w:proofErr w:type="spellEnd"/>
      <w:r>
        <w:rPr>
          <w:i/>
          <w:szCs w:val="16"/>
        </w:rPr>
        <w:t>:</w:t>
      </w:r>
    </w:p>
    <w:p w:rsidR="008E199F" w:rsidRDefault="008E199F" w:rsidP="008E199F">
      <w:pPr>
        <w:rPr>
          <w:szCs w:val="16"/>
        </w:rPr>
      </w:pP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>Согласно условиям договора</w:t>
      </w:r>
      <w:r w:rsidRPr="005E640E">
        <w:rPr>
          <w:szCs w:val="16"/>
        </w:rPr>
        <w:tab/>
      </w:r>
    </w:p>
    <w:p w:rsidR="008E199F" w:rsidRDefault="008E199F" w:rsidP="008E199F">
      <w:pPr>
        <w:rPr>
          <w:szCs w:val="16"/>
        </w:rPr>
      </w:pPr>
    </w:p>
    <w:p w:rsidR="008E199F" w:rsidRPr="0056617E" w:rsidRDefault="008E199F" w:rsidP="008E199F">
      <w:pPr>
        <w:rPr>
          <w:i/>
          <w:szCs w:val="16"/>
        </w:rPr>
      </w:pPr>
      <w:r w:rsidRPr="0056617E">
        <w:rPr>
          <w:i/>
          <w:szCs w:val="16"/>
        </w:rPr>
        <w:t>6. Формы, характер и периодичность предоставления отчетов о ходе выполнения работ</w:t>
      </w:r>
    </w:p>
    <w:p w:rsidR="008E199F" w:rsidRPr="0056617E" w:rsidRDefault="008E199F" w:rsidP="008E199F">
      <w:pPr>
        <w:rPr>
          <w:i/>
          <w:szCs w:val="16"/>
        </w:rPr>
      </w:pPr>
      <w:r w:rsidRPr="0056617E">
        <w:rPr>
          <w:i/>
          <w:szCs w:val="16"/>
        </w:rPr>
        <w:t xml:space="preserve">Предоставлять Заказчику по его требованию необходимую информацию о ходе выполнения работ </w:t>
      </w:r>
    </w:p>
    <w:p w:rsidR="008E199F" w:rsidRDefault="008E199F" w:rsidP="008E199F">
      <w:pPr>
        <w:rPr>
          <w:szCs w:val="16"/>
        </w:rPr>
      </w:pPr>
    </w:p>
    <w:p w:rsidR="008E199F" w:rsidRPr="0056617E" w:rsidRDefault="008E199F" w:rsidP="008E199F">
      <w:pPr>
        <w:rPr>
          <w:i/>
          <w:szCs w:val="16"/>
        </w:rPr>
      </w:pPr>
      <w:r w:rsidRPr="0056617E">
        <w:rPr>
          <w:i/>
          <w:szCs w:val="16"/>
        </w:rPr>
        <w:t>7. Порядок контроля, приемки и оформления результатов по выполненным работам</w:t>
      </w:r>
    </w:p>
    <w:p w:rsidR="008E199F" w:rsidRPr="0056617E" w:rsidRDefault="008E199F" w:rsidP="008E199F">
      <w:pPr>
        <w:rPr>
          <w:i/>
          <w:szCs w:val="16"/>
        </w:rPr>
      </w:pPr>
      <w:r w:rsidRPr="0056617E">
        <w:rPr>
          <w:i/>
          <w:szCs w:val="16"/>
        </w:rPr>
        <w:t xml:space="preserve">Исполнитель предоставляет Заказчику Планы  развития горных  работ на  2015год  по каждому </w:t>
      </w:r>
      <w:proofErr w:type="spellStart"/>
      <w:r w:rsidRPr="0056617E">
        <w:rPr>
          <w:i/>
          <w:szCs w:val="16"/>
        </w:rPr>
        <w:t>недропользователю</w:t>
      </w:r>
      <w:proofErr w:type="spellEnd"/>
      <w:r w:rsidRPr="0056617E">
        <w:rPr>
          <w:i/>
          <w:szCs w:val="16"/>
        </w:rPr>
        <w:t xml:space="preserve">  на бумажном носителе в 2 экземплярах и в электронном виде.</w:t>
      </w:r>
    </w:p>
    <w:p w:rsidR="008E199F" w:rsidRPr="0056617E" w:rsidRDefault="008E199F" w:rsidP="008E199F">
      <w:pPr>
        <w:rPr>
          <w:i/>
          <w:szCs w:val="16"/>
        </w:rPr>
      </w:pPr>
    </w:p>
    <w:p w:rsidR="008E199F" w:rsidRPr="0056617E" w:rsidRDefault="008E199F" w:rsidP="008E199F">
      <w:pPr>
        <w:rPr>
          <w:i/>
          <w:szCs w:val="16"/>
        </w:rPr>
      </w:pPr>
      <w:r w:rsidRPr="0056617E">
        <w:rPr>
          <w:i/>
          <w:szCs w:val="16"/>
        </w:rPr>
        <w:t>8. Исполнитель должен иметь:</w:t>
      </w:r>
    </w:p>
    <w:p w:rsidR="008E199F" w:rsidRPr="005E640E" w:rsidRDefault="008E199F" w:rsidP="008E199F">
      <w:pPr>
        <w:rPr>
          <w:szCs w:val="16"/>
        </w:rPr>
      </w:pPr>
      <w:r w:rsidRPr="005E640E">
        <w:rPr>
          <w:szCs w:val="16"/>
        </w:rPr>
        <w:t>•</w:t>
      </w:r>
      <w:r w:rsidRPr="005E640E">
        <w:rPr>
          <w:szCs w:val="16"/>
        </w:rPr>
        <w:tab/>
        <w:t>опыт работы выполняемых работ не менее трех лет;</w:t>
      </w:r>
    </w:p>
    <w:p w:rsidR="008E199F" w:rsidRDefault="008E199F" w:rsidP="008E199F">
      <w:pPr>
        <w:rPr>
          <w:szCs w:val="16"/>
        </w:rPr>
      </w:pPr>
      <w:r w:rsidRPr="005E640E">
        <w:rPr>
          <w:szCs w:val="16"/>
        </w:rPr>
        <w:t>•</w:t>
      </w:r>
      <w:r w:rsidRPr="005E640E">
        <w:rPr>
          <w:szCs w:val="16"/>
        </w:rPr>
        <w:tab/>
        <w:t>наличие лицензии на производство маркшейдерских работ</w:t>
      </w:r>
      <w:r>
        <w:rPr>
          <w:szCs w:val="16"/>
        </w:rPr>
        <w:t>.</w:t>
      </w:r>
    </w:p>
    <w:p w:rsidR="00CF418D" w:rsidRDefault="00CF418D" w:rsidP="008E199F">
      <w:pPr>
        <w:rPr>
          <w:szCs w:val="16"/>
        </w:rPr>
      </w:pPr>
    </w:p>
    <w:p w:rsidR="00CF418D" w:rsidRPr="0056617E" w:rsidRDefault="00CF418D" w:rsidP="00CF418D">
      <w:pPr>
        <w:rPr>
          <w:i/>
          <w:szCs w:val="16"/>
        </w:rPr>
      </w:pPr>
      <w:r>
        <w:rPr>
          <w:i/>
          <w:szCs w:val="16"/>
        </w:rPr>
        <w:t>9</w:t>
      </w:r>
      <w:r w:rsidRPr="0056617E">
        <w:rPr>
          <w:i/>
          <w:szCs w:val="16"/>
        </w:rPr>
        <w:t xml:space="preserve">. </w:t>
      </w:r>
      <w:r>
        <w:rPr>
          <w:i/>
          <w:szCs w:val="16"/>
        </w:rPr>
        <w:t>Основные требования к претенденту</w:t>
      </w:r>
      <w:r w:rsidRPr="0056617E">
        <w:rPr>
          <w:i/>
          <w:szCs w:val="16"/>
        </w:rPr>
        <w:t>:</w:t>
      </w:r>
    </w:p>
    <w:p w:rsidR="00CF418D" w:rsidRDefault="00CF418D" w:rsidP="008E199F">
      <w:pPr>
        <w:rPr>
          <w:szCs w:val="16"/>
        </w:rPr>
      </w:pPr>
    </w:p>
    <w:p w:rsidR="00CF418D" w:rsidRPr="00CF418D" w:rsidRDefault="00CF418D" w:rsidP="00CF418D">
      <w:pPr>
        <w:tabs>
          <w:tab w:val="num" w:pos="644"/>
        </w:tabs>
        <w:adjustRightInd w:val="0"/>
        <w:ind w:left="704" w:hanging="360"/>
        <w:jc w:val="both"/>
        <w:rPr>
          <w:szCs w:val="16"/>
        </w:rPr>
      </w:pPr>
      <w:r w:rsidRPr="00CF418D">
        <w:t xml:space="preserve">Подрядчик обязан заключать договоры добровольного страхования от несчастных случаев работников со страховой суммой не </w:t>
      </w:r>
      <w:r w:rsidR="00B67061">
        <w:t xml:space="preserve">менее </w:t>
      </w:r>
      <w:r w:rsidRPr="00CF418D">
        <w:t>400 000 (четырехсот тысяч) рублей, с включением в договор следующих рисков:</w:t>
      </w:r>
    </w:p>
    <w:p w:rsidR="00CF418D" w:rsidRPr="00CF418D" w:rsidRDefault="00CF418D" w:rsidP="00CF418D">
      <w:pPr>
        <w:ind w:left="704"/>
        <w:jc w:val="both"/>
      </w:pPr>
      <w:r w:rsidRPr="00CF418D">
        <w:t>- смерти в результате несчастного случая;</w:t>
      </w:r>
    </w:p>
    <w:p w:rsidR="00CF418D" w:rsidRPr="00CF418D" w:rsidRDefault="00CF418D" w:rsidP="00CF418D">
      <w:pPr>
        <w:ind w:left="704"/>
        <w:jc w:val="both"/>
      </w:pPr>
      <w:r w:rsidRPr="00CF418D"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CF418D" w:rsidRPr="00CF418D" w:rsidRDefault="00CF418D" w:rsidP="00CF418D">
      <w:pPr>
        <w:adjustRightInd w:val="0"/>
        <w:ind w:left="704"/>
        <w:jc w:val="both"/>
        <w:rPr>
          <w:szCs w:val="16"/>
          <w:highlight w:val="yellow"/>
        </w:rPr>
      </w:pPr>
      <w:r w:rsidRPr="00CF418D"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CF418D" w:rsidRPr="005E640E" w:rsidRDefault="00CF418D" w:rsidP="008E199F">
      <w:pPr>
        <w:rPr>
          <w:szCs w:val="16"/>
        </w:rPr>
      </w:pPr>
    </w:p>
    <w:p w:rsidR="008E199F" w:rsidRPr="0056617E" w:rsidRDefault="008E199F" w:rsidP="008E199F">
      <w:pPr>
        <w:autoSpaceDE w:val="0"/>
        <w:autoSpaceDN w:val="0"/>
        <w:adjustRightInd w:val="0"/>
        <w:jc w:val="both"/>
        <w:rPr>
          <w:i/>
          <w:szCs w:val="16"/>
        </w:rPr>
      </w:pPr>
      <w:r w:rsidRPr="0056617E">
        <w:rPr>
          <w:i/>
          <w:szCs w:val="16"/>
        </w:rPr>
        <w:t>Приложения к Форме 5 Технического задания:</w:t>
      </w:r>
    </w:p>
    <w:p w:rsidR="008E199F" w:rsidRDefault="008E199F" w:rsidP="008E199F">
      <w:pPr>
        <w:autoSpaceDE w:val="0"/>
        <w:autoSpaceDN w:val="0"/>
        <w:adjustRightInd w:val="0"/>
        <w:jc w:val="both"/>
        <w:rPr>
          <w:szCs w:val="16"/>
        </w:rPr>
      </w:pPr>
      <w:r w:rsidRPr="005E640E">
        <w:rPr>
          <w:szCs w:val="16"/>
        </w:rPr>
        <w:t>Приложение 1. Календарный план</w:t>
      </w:r>
    </w:p>
    <w:p w:rsidR="008E199F" w:rsidRDefault="00E67AA2" w:rsidP="008E199F">
      <w:pPr>
        <w:autoSpaceDE w:val="0"/>
        <w:autoSpaceDN w:val="0"/>
        <w:adjustRightInd w:val="0"/>
        <w:jc w:val="both"/>
      </w:pPr>
      <w:r>
        <w:rPr>
          <w:szCs w:val="16"/>
        </w:rPr>
        <w:t xml:space="preserve">Приложение 2. </w:t>
      </w:r>
      <w:r w:rsidR="00FA282F" w:rsidRPr="00FA282F">
        <w:rPr>
          <w:szCs w:val="16"/>
        </w:rPr>
        <w:t>Критери</w:t>
      </w:r>
      <w:r w:rsidR="00FA282F">
        <w:rPr>
          <w:szCs w:val="16"/>
        </w:rPr>
        <w:t>и</w:t>
      </w:r>
      <w:r w:rsidR="00FA282F" w:rsidRPr="00FA282F">
        <w:rPr>
          <w:szCs w:val="16"/>
        </w:rPr>
        <w:t xml:space="preserve"> технической оценки оферт участников закупки на выполнение работ по разработке планов развития горных работ по объектам производственной деятельности ОАО «СН-МНГ»  по типу сделки № 426 «Подготовка </w:t>
      </w:r>
      <w:r w:rsidR="00FA282F">
        <w:rPr>
          <w:szCs w:val="16"/>
        </w:rPr>
        <w:t>планов работ по месторождениям»</w:t>
      </w:r>
    </w:p>
    <w:p w:rsidR="006349C3" w:rsidRDefault="006349C3" w:rsidP="00735EAF">
      <w:pPr>
        <w:jc w:val="right"/>
        <w:rPr>
          <w:sz w:val="22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DC5" w:rsidRDefault="00BE0DC5">
      <w:r>
        <w:separator/>
      </w:r>
    </w:p>
  </w:endnote>
  <w:endnote w:type="continuationSeparator" w:id="0">
    <w:p w:rsidR="00BE0DC5" w:rsidRDefault="00BE0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DC5" w:rsidRDefault="00BE0DC5">
      <w:r>
        <w:separator/>
      </w:r>
    </w:p>
  </w:footnote>
  <w:footnote w:type="continuationSeparator" w:id="0">
    <w:p w:rsidR="00BE0DC5" w:rsidRDefault="00BE0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5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5"/>
  </w:num>
  <w:num w:numId="5">
    <w:abstractNumId w:val="6"/>
  </w:num>
  <w:num w:numId="6">
    <w:abstractNumId w:val="9"/>
  </w:num>
  <w:num w:numId="7">
    <w:abstractNumId w:val="0"/>
  </w:num>
  <w:num w:numId="8">
    <w:abstractNumId w:val="2"/>
  </w:num>
  <w:num w:numId="9">
    <w:abstractNumId w:val="7"/>
  </w:num>
  <w:num w:numId="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0B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96D"/>
    <w:rsid w:val="00083FD5"/>
    <w:rsid w:val="00084F0B"/>
    <w:rsid w:val="000869C4"/>
    <w:rsid w:val="00086BD6"/>
    <w:rsid w:val="00086F4D"/>
    <w:rsid w:val="00087BC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172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6A65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5DE"/>
    <w:rsid w:val="001956F8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0AA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529F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3540"/>
    <w:rsid w:val="0054598D"/>
    <w:rsid w:val="005462F1"/>
    <w:rsid w:val="005504DD"/>
    <w:rsid w:val="0055103B"/>
    <w:rsid w:val="005529AE"/>
    <w:rsid w:val="005529B0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4E0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64C1"/>
    <w:rsid w:val="006874BE"/>
    <w:rsid w:val="00690193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4DD1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B4D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65C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E06AC"/>
    <w:rsid w:val="00AE0D32"/>
    <w:rsid w:val="00AE120D"/>
    <w:rsid w:val="00AE409E"/>
    <w:rsid w:val="00AE4BA5"/>
    <w:rsid w:val="00AE7D7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C4B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2068"/>
    <w:rsid w:val="00BA3B94"/>
    <w:rsid w:val="00BA408E"/>
    <w:rsid w:val="00BA4697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0DC5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053D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6958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8C"/>
    <w:rsid w:val="00F43748"/>
    <w:rsid w:val="00F44060"/>
    <w:rsid w:val="00F44705"/>
    <w:rsid w:val="00F4472B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282F"/>
    <w:rsid w:val="00FA4870"/>
    <w:rsid w:val="00FA4B83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E7B6D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Pr>
      <w:sz w:val="16"/>
      <w:szCs w:val="16"/>
    </w:rPr>
  </w:style>
  <w:style w:type="paragraph" w:styleId="af8">
    <w:name w:val="annotation text"/>
    <w:basedOn w:val="a8"/>
    <w:semiHidden/>
    <w:rPr>
      <w:sz w:val="20"/>
      <w:szCs w:val="20"/>
    </w:rPr>
  </w:style>
  <w:style w:type="paragraph" w:styleId="af9">
    <w:name w:val="annotation subject"/>
    <w:basedOn w:val="af8"/>
    <w:next w:val="af8"/>
    <w:semiHidden/>
    <w:rPr>
      <w:b/>
      <w:bCs/>
    </w:rPr>
  </w:style>
  <w:style w:type="paragraph" w:styleId="afa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Pr>
      <w:b/>
      <w:bCs/>
    </w:rPr>
  </w:style>
  <w:style w:type="paragraph" w:styleId="afc">
    <w:name w:val="Body Text"/>
    <w:basedOn w:val="a8"/>
    <w:pPr>
      <w:spacing w:after="120"/>
    </w:pPr>
  </w:style>
  <w:style w:type="paragraph" w:styleId="afd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BahtiiarovG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htiiarovGA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2A6C2-DA27-40FF-9A4D-E1AB89A10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</Pages>
  <Words>2653</Words>
  <Characters>15126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17744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Елена Викторовна Акимова</cp:lastModifiedBy>
  <cp:revision>28</cp:revision>
  <cp:lastPrinted>2014-10-06T10:37:00Z</cp:lastPrinted>
  <dcterms:created xsi:type="dcterms:W3CDTF">2014-07-31T03:34:00Z</dcterms:created>
  <dcterms:modified xsi:type="dcterms:W3CDTF">2014-10-06T10:40:00Z</dcterms:modified>
</cp:coreProperties>
</file>