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w:t>
      </w:r>
      <w:r w:rsidR="00233DA7" w:rsidRPr="00233DA7">
        <w:rPr>
          <w:rFonts w:ascii="Times New Roman" w:hAnsi="Times New Roman"/>
          <w:sz w:val="24"/>
        </w:rPr>
        <w:t>Автодорога "Причал-кустовая площадка 42" Инв.№130000005943</w:t>
      </w:r>
      <w:r w:rsidR="00233DA7">
        <w:rPr>
          <w:rFonts w:ascii="Times New Roman" w:hAnsi="Times New Roman"/>
          <w:sz w:val="24"/>
        </w:rPr>
        <w:t xml:space="preserve">; </w:t>
      </w:r>
      <w:r w:rsidR="00233DA7" w:rsidRPr="00233DA7">
        <w:rPr>
          <w:rFonts w:ascii="Times New Roman" w:hAnsi="Times New Roman"/>
          <w:sz w:val="24"/>
        </w:rPr>
        <w:t>Автодорога "Причал-кустовая площадка 53" Инв.№130000005944</w:t>
      </w:r>
      <w:r w:rsidR="00233DA7">
        <w:rPr>
          <w:rFonts w:ascii="Times New Roman" w:hAnsi="Times New Roman"/>
          <w:sz w:val="24"/>
        </w:rPr>
        <w:t xml:space="preserve">; </w:t>
      </w:r>
      <w:r w:rsidR="00233DA7" w:rsidRPr="00233DA7">
        <w:rPr>
          <w:rFonts w:ascii="Times New Roman" w:hAnsi="Times New Roman"/>
          <w:sz w:val="24"/>
        </w:rPr>
        <w:t>Автодорога "Причал-кустовая площадка 222" Инв.№130000005945</w:t>
      </w:r>
      <w:r w:rsidR="00233DA7">
        <w:rPr>
          <w:rFonts w:ascii="Times New Roman" w:hAnsi="Times New Roman"/>
          <w:sz w:val="24"/>
        </w:rPr>
        <w:t xml:space="preserve">; </w:t>
      </w:r>
      <w:r w:rsidR="00233DA7" w:rsidRPr="00233DA7">
        <w:rPr>
          <w:rFonts w:ascii="Times New Roman" w:hAnsi="Times New Roman"/>
          <w:sz w:val="24"/>
        </w:rPr>
        <w:t>Автомобильная дорога на куст скважин 225 Инв.№130000004192</w:t>
      </w:r>
      <w:r w:rsidR="00233DA7">
        <w:rPr>
          <w:rFonts w:ascii="Times New Roman" w:hAnsi="Times New Roman"/>
          <w:sz w:val="24"/>
        </w:rPr>
        <w:t xml:space="preserve">; </w:t>
      </w:r>
      <w:r w:rsidR="00233DA7" w:rsidRPr="00233DA7">
        <w:rPr>
          <w:rFonts w:ascii="Times New Roman" w:hAnsi="Times New Roman"/>
          <w:sz w:val="24"/>
        </w:rPr>
        <w:t xml:space="preserve">Автодорога от ЦПС-2 до причала </w:t>
      </w:r>
      <w:proofErr w:type="spellStart"/>
      <w:r w:rsidR="00233DA7" w:rsidRPr="00233DA7">
        <w:rPr>
          <w:rFonts w:ascii="Times New Roman" w:hAnsi="Times New Roman"/>
          <w:sz w:val="24"/>
        </w:rPr>
        <w:t>р</w:t>
      </w:r>
      <w:proofErr w:type="gramStart"/>
      <w:r w:rsidR="00233DA7" w:rsidRPr="00233DA7">
        <w:rPr>
          <w:rFonts w:ascii="Times New Roman" w:hAnsi="Times New Roman"/>
          <w:sz w:val="24"/>
        </w:rPr>
        <w:t>.О</w:t>
      </w:r>
      <w:proofErr w:type="gramEnd"/>
      <w:r w:rsidR="00233DA7" w:rsidRPr="00233DA7">
        <w:rPr>
          <w:rFonts w:ascii="Times New Roman" w:hAnsi="Times New Roman"/>
          <w:sz w:val="24"/>
        </w:rPr>
        <w:t>бъ</w:t>
      </w:r>
      <w:proofErr w:type="spellEnd"/>
      <w:r w:rsidR="00233DA7" w:rsidRPr="00233DA7">
        <w:rPr>
          <w:rFonts w:ascii="Times New Roman" w:hAnsi="Times New Roman"/>
          <w:sz w:val="24"/>
        </w:rPr>
        <w:t xml:space="preserve"> </w:t>
      </w:r>
      <w:proofErr w:type="spellStart"/>
      <w:r w:rsidR="00233DA7" w:rsidRPr="00233DA7">
        <w:rPr>
          <w:rFonts w:ascii="Times New Roman" w:hAnsi="Times New Roman"/>
          <w:sz w:val="24"/>
        </w:rPr>
        <w:t>Вост.купол</w:t>
      </w:r>
      <w:proofErr w:type="spellEnd"/>
      <w:r w:rsidR="00233DA7" w:rsidRPr="00233DA7">
        <w:rPr>
          <w:rFonts w:ascii="Times New Roman" w:hAnsi="Times New Roman"/>
          <w:sz w:val="24"/>
        </w:rPr>
        <w:t xml:space="preserve"> Инв.№920000000131</w:t>
      </w:r>
      <w:r w:rsidR="00233DA7">
        <w:rPr>
          <w:rFonts w:ascii="Times New Roman" w:hAnsi="Times New Roman"/>
          <w:sz w:val="24"/>
        </w:rPr>
        <w:t xml:space="preserve">; </w:t>
      </w:r>
      <w:r w:rsidR="00233DA7" w:rsidRPr="00233DA7">
        <w:rPr>
          <w:rFonts w:ascii="Times New Roman" w:hAnsi="Times New Roman"/>
          <w:sz w:val="24"/>
        </w:rPr>
        <w:t xml:space="preserve">Автомобильная дорога на куст </w:t>
      </w:r>
      <w:proofErr w:type="spellStart"/>
      <w:r w:rsidR="00233DA7" w:rsidRPr="00233DA7">
        <w:rPr>
          <w:rFonts w:ascii="Times New Roman" w:hAnsi="Times New Roman"/>
          <w:sz w:val="24"/>
        </w:rPr>
        <w:t>скв</w:t>
      </w:r>
      <w:proofErr w:type="spellEnd"/>
      <w:r w:rsidR="00233DA7" w:rsidRPr="00233DA7">
        <w:rPr>
          <w:rFonts w:ascii="Times New Roman" w:hAnsi="Times New Roman"/>
          <w:sz w:val="24"/>
        </w:rPr>
        <w:t>. № 224 Ват. м/р Инв.№130000004440</w:t>
      </w:r>
      <w:r w:rsidR="00233DA7">
        <w:rPr>
          <w:rFonts w:ascii="Times New Roman" w:hAnsi="Times New Roman"/>
          <w:sz w:val="24"/>
        </w:rPr>
        <w:t xml:space="preserve">; </w:t>
      </w:r>
      <w:r w:rsidR="00233DA7" w:rsidRPr="00233DA7">
        <w:rPr>
          <w:rFonts w:ascii="Times New Roman" w:hAnsi="Times New Roman"/>
          <w:sz w:val="24"/>
        </w:rPr>
        <w:t>Автомобильная дорога на куст скважин 226,L-2012 м Инв.№130000004193</w:t>
      </w:r>
      <w:r w:rsidR="00233DA7">
        <w:rPr>
          <w:rFonts w:ascii="Times New Roman" w:hAnsi="Times New Roman"/>
          <w:sz w:val="24"/>
        </w:rPr>
        <w:t>.</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proofErr w:type="spellStart"/>
      <w:r w:rsidR="00233DA7" w:rsidRPr="00233DA7">
        <w:rPr>
          <w:rFonts w:ascii="Times New Roman" w:hAnsi="Times New Roman"/>
          <w:sz w:val="24"/>
        </w:rPr>
        <w:t>Ватинское</w:t>
      </w:r>
      <w:proofErr w:type="spellEnd"/>
      <w:r w:rsidR="00233DA7" w:rsidRPr="00233DA7">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lastRenderedPageBreak/>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w:t>
      </w:r>
      <w:r w:rsidRPr="00AD418E">
        <w:rPr>
          <w:rFonts w:ascii="Times New Roman" w:hAnsi="Times New Roman"/>
          <w:sz w:val="24"/>
          <w:highlight w:val="lightGray"/>
        </w:rPr>
        <w:lastRenderedPageBreak/>
        <w:t>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233DA7"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233DA7" w:rsidRPr="00233DA7">
        <w:rPr>
          <w:rFonts w:ascii="Times New Roman" w:hAnsi="Times New Roman"/>
          <w:sz w:val="24"/>
        </w:rPr>
        <w:t>Автодорога "Причал-кустовая площадка 42" Инв.№130000005943</w:t>
      </w:r>
      <w:r w:rsidR="00233DA7">
        <w:rPr>
          <w:rFonts w:ascii="Times New Roman" w:hAnsi="Times New Roman"/>
          <w:sz w:val="24"/>
        </w:rPr>
        <w:t xml:space="preserve">; </w:t>
      </w:r>
      <w:r w:rsidR="00233DA7" w:rsidRPr="00233DA7">
        <w:rPr>
          <w:rFonts w:ascii="Times New Roman" w:hAnsi="Times New Roman"/>
          <w:sz w:val="24"/>
        </w:rPr>
        <w:t>Автодорога "Причал-кустовая площадка 53" Инв.№130000005944</w:t>
      </w:r>
      <w:r w:rsidR="00233DA7">
        <w:rPr>
          <w:rFonts w:ascii="Times New Roman" w:hAnsi="Times New Roman"/>
          <w:sz w:val="24"/>
        </w:rPr>
        <w:t xml:space="preserve">; </w:t>
      </w:r>
      <w:r w:rsidR="00233DA7" w:rsidRPr="00233DA7">
        <w:rPr>
          <w:rFonts w:ascii="Times New Roman" w:hAnsi="Times New Roman"/>
          <w:sz w:val="24"/>
        </w:rPr>
        <w:t>Автодорога "Причал-кустовая площадка 222" Инв.№130000005945</w:t>
      </w:r>
      <w:r w:rsidR="00233DA7">
        <w:rPr>
          <w:rFonts w:ascii="Times New Roman" w:hAnsi="Times New Roman"/>
          <w:sz w:val="24"/>
        </w:rPr>
        <w:t xml:space="preserve">; </w:t>
      </w:r>
      <w:r w:rsidR="00233DA7" w:rsidRPr="00233DA7">
        <w:rPr>
          <w:rFonts w:ascii="Times New Roman" w:hAnsi="Times New Roman"/>
          <w:sz w:val="24"/>
        </w:rPr>
        <w:t>Автомобильная дорога на куст скважин 225 Инв.№130000004192</w:t>
      </w:r>
      <w:r w:rsidR="00233DA7">
        <w:rPr>
          <w:rFonts w:ascii="Times New Roman" w:hAnsi="Times New Roman"/>
          <w:sz w:val="24"/>
        </w:rPr>
        <w:t xml:space="preserve">; </w:t>
      </w:r>
      <w:r w:rsidR="00233DA7" w:rsidRPr="00233DA7">
        <w:rPr>
          <w:rFonts w:ascii="Times New Roman" w:hAnsi="Times New Roman"/>
          <w:sz w:val="24"/>
        </w:rPr>
        <w:t xml:space="preserve">Автодорога от ЦПС-2 до причала </w:t>
      </w:r>
      <w:proofErr w:type="spellStart"/>
      <w:r w:rsidR="00233DA7" w:rsidRPr="00233DA7">
        <w:rPr>
          <w:rFonts w:ascii="Times New Roman" w:hAnsi="Times New Roman"/>
          <w:sz w:val="24"/>
        </w:rPr>
        <w:t>р</w:t>
      </w:r>
      <w:proofErr w:type="gramStart"/>
      <w:r w:rsidR="00233DA7" w:rsidRPr="00233DA7">
        <w:rPr>
          <w:rFonts w:ascii="Times New Roman" w:hAnsi="Times New Roman"/>
          <w:sz w:val="24"/>
        </w:rPr>
        <w:t>.О</w:t>
      </w:r>
      <w:proofErr w:type="gramEnd"/>
      <w:r w:rsidR="00233DA7" w:rsidRPr="00233DA7">
        <w:rPr>
          <w:rFonts w:ascii="Times New Roman" w:hAnsi="Times New Roman"/>
          <w:sz w:val="24"/>
        </w:rPr>
        <w:t>бъ</w:t>
      </w:r>
      <w:proofErr w:type="spellEnd"/>
      <w:r w:rsidR="00233DA7" w:rsidRPr="00233DA7">
        <w:rPr>
          <w:rFonts w:ascii="Times New Roman" w:hAnsi="Times New Roman"/>
          <w:sz w:val="24"/>
        </w:rPr>
        <w:t xml:space="preserve"> </w:t>
      </w:r>
      <w:proofErr w:type="spellStart"/>
      <w:r w:rsidR="00233DA7" w:rsidRPr="00233DA7">
        <w:rPr>
          <w:rFonts w:ascii="Times New Roman" w:hAnsi="Times New Roman"/>
          <w:sz w:val="24"/>
        </w:rPr>
        <w:t>Вост.купол</w:t>
      </w:r>
      <w:proofErr w:type="spellEnd"/>
      <w:r w:rsidR="00233DA7" w:rsidRPr="00233DA7">
        <w:rPr>
          <w:rFonts w:ascii="Times New Roman" w:hAnsi="Times New Roman"/>
          <w:sz w:val="24"/>
        </w:rPr>
        <w:t xml:space="preserve"> Инв.№920000000131</w:t>
      </w:r>
      <w:r w:rsidR="00233DA7">
        <w:rPr>
          <w:rFonts w:ascii="Times New Roman" w:hAnsi="Times New Roman"/>
          <w:sz w:val="24"/>
        </w:rPr>
        <w:t xml:space="preserve">; </w:t>
      </w:r>
      <w:r w:rsidR="00233DA7" w:rsidRPr="00233DA7">
        <w:rPr>
          <w:rFonts w:ascii="Times New Roman" w:hAnsi="Times New Roman"/>
          <w:sz w:val="24"/>
        </w:rPr>
        <w:t xml:space="preserve">Автомобильная дорога на куст </w:t>
      </w:r>
      <w:proofErr w:type="spellStart"/>
      <w:r w:rsidR="00233DA7" w:rsidRPr="00233DA7">
        <w:rPr>
          <w:rFonts w:ascii="Times New Roman" w:hAnsi="Times New Roman"/>
          <w:sz w:val="24"/>
        </w:rPr>
        <w:t>скв</w:t>
      </w:r>
      <w:proofErr w:type="spellEnd"/>
      <w:r w:rsidR="00233DA7" w:rsidRPr="00233DA7">
        <w:rPr>
          <w:rFonts w:ascii="Times New Roman" w:hAnsi="Times New Roman"/>
          <w:sz w:val="24"/>
        </w:rPr>
        <w:t>. № 224 Ват. м/р Инв.№130000004440</w:t>
      </w:r>
      <w:r w:rsidR="00233DA7">
        <w:rPr>
          <w:rFonts w:ascii="Times New Roman" w:hAnsi="Times New Roman"/>
          <w:sz w:val="24"/>
        </w:rPr>
        <w:t xml:space="preserve">; </w:t>
      </w:r>
      <w:r w:rsidR="00233DA7" w:rsidRPr="00233DA7">
        <w:rPr>
          <w:rFonts w:ascii="Times New Roman" w:hAnsi="Times New Roman"/>
          <w:sz w:val="24"/>
        </w:rPr>
        <w:t>Автомобильная дорога на куст скважин 226,L-2012 м</w:t>
      </w:r>
      <w:proofErr w:type="gramStart"/>
      <w:r w:rsidR="00233DA7" w:rsidRPr="00233DA7">
        <w:rPr>
          <w:rFonts w:ascii="Times New Roman" w:hAnsi="Times New Roman"/>
          <w:sz w:val="24"/>
        </w:rPr>
        <w:t xml:space="preserve"> И</w:t>
      </w:r>
      <w:proofErr w:type="gramEnd"/>
      <w:r w:rsidR="00233DA7" w:rsidRPr="00233DA7">
        <w:rPr>
          <w:rFonts w:ascii="Times New Roman" w:hAnsi="Times New Roman"/>
          <w:sz w:val="24"/>
        </w:rPr>
        <w:t>нв.№130000004193</w:t>
      </w:r>
      <w:r w:rsidR="00233DA7">
        <w:rPr>
          <w:rFonts w:ascii="Times New Roman" w:hAnsi="Times New Roman"/>
          <w:sz w:val="24"/>
        </w:rPr>
        <w:t xml:space="preserve">, в составе стройки: </w:t>
      </w:r>
      <w:proofErr w:type="spellStart"/>
      <w:r w:rsidR="00233DA7">
        <w:rPr>
          <w:rFonts w:ascii="Times New Roman" w:hAnsi="Times New Roman"/>
          <w:sz w:val="24"/>
        </w:rPr>
        <w:t>Ватинское</w:t>
      </w:r>
      <w:proofErr w:type="spellEnd"/>
      <w:r w:rsidR="00233DA7">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w:t>
      </w:r>
      <w:r w:rsidRPr="00AD418E">
        <w:rPr>
          <w:rFonts w:ascii="Times New Roman" w:hAnsi="Times New Roman"/>
          <w:sz w:val="24"/>
        </w:rPr>
        <w:lastRenderedPageBreak/>
        <w:t xml:space="preserve">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C1752C">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00C1752C">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 xml:space="preserve">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 xml:space="preserve">или увеличить (+) объем работ в </w:t>
      </w:r>
      <w:r w:rsidRPr="00AD418E">
        <w:rPr>
          <w:rFonts w:ascii="Times New Roman" w:hAnsi="Times New Roman"/>
          <w:sz w:val="24"/>
        </w:rPr>
        <w:lastRenderedPageBreak/>
        <w:t>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 xml:space="preserve">акта о приемке-сдаче отремонтированных, реконструированных, модернизированных </w:t>
      </w:r>
      <w:r w:rsidRPr="00AD418E">
        <w:rPr>
          <w:rFonts w:ascii="Times New Roman" w:hAnsi="Times New Roman"/>
          <w:sz w:val="24"/>
          <w:highlight w:val="lightGray"/>
        </w:rPr>
        <w:lastRenderedPageBreak/>
        <w:t>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5.1.17. Извещает Заказчика о необходимости проведения скрытых работ не менее чем за 3 </w:t>
      </w:r>
      <w:r w:rsidRPr="00AD418E">
        <w:rPr>
          <w:rFonts w:ascii="Times New Roman" w:hAnsi="Times New Roman"/>
          <w:sz w:val="24"/>
        </w:rPr>
        <w:lastRenderedPageBreak/>
        <w:t>(три)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w:t>
      </w:r>
      <w:r w:rsidRPr="00AD418E">
        <w:rPr>
          <w:rFonts w:ascii="Times New Roman" w:hAnsi="Times New Roman"/>
          <w:sz w:val="24"/>
        </w:rPr>
        <w:lastRenderedPageBreak/>
        <w:t>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lastRenderedPageBreak/>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w:t>
      </w:r>
      <w:r w:rsidRPr="00AD418E">
        <w:rPr>
          <w:rFonts w:ascii="Times New Roman" w:hAnsi="Times New Roman"/>
          <w:sz w:val="24"/>
        </w:rPr>
        <w:lastRenderedPageBreak/>
        <w:t xml:space="preserve">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w:t>
      </w:r>
      <w:r w:rsidRPr="00AD418E">
        <w:rPr>
          <w:rFonts w:ascii="Times New Roman" w:hAnsi="Times New Roman"/>
          <w:sz w:val="24"/>
          <w:highlight w:val="lightGray"/>
        </w:rPr>
        <w:lastRenderedPageBreak/>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AD418E">
        <w:rPr>
          <w:rFonts w:ascii="Times New Roman" w:hAnsi="Times New Roman"/>
          <w:sz w:val="24"/>
        </w:rPr>
        <w:lastRenderedPageBreak/>
        <w:t xml:space="preserve">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w:t>
      </w:r>
      <w:r w:rsidRPr="00AD418E">
        <w:rPr>
          <w:rFonts w:ascii="Times New Roman" w:hAnsi="Times New Roman"/>
          <w:sz w:val="24"/>
        </w:rPr>
        <w:lastRenderedPageBreak/>
        <w:t xml:space="preserve">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 За невыполнение и/или ненадлежащее выполнение обязательств по настоящему Договору </w:t>
      </w:r>
      <w:r w:rsidRPr="00AD418E">
        <w:rPr>
          <w:rFonts w:ascii="Times New Roman" w:hAnsi="Times New Roman"/>
          <w:sz w:val="24"/>
        </w:rPr>
        <w:lastRenderedPageBreak/>
        <w:t>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w:t>
      </w:r>
      <w:r w:rsidRPr="00AD418E">
        <w:rPr>
          <w:rFonts w:ascii="Times New Roman" w:hAnsi="Times New Roman"/>
          <w:sz w:val="24"/>
        </w:rPr>
        <w:lastRenderedPageBreak/>
        <w:t>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w:t>
      </w:r>
      <w:r w:rsidRPr="00AD418E">
        <w:rPr>
          <w:rFonts w:ascii="Times New Roman" w:hAnsi="Times New Roman"/>
          <w:sz w:val="24"/>
        </w:rPr>
        <w:lastRenderedPageBreak/>
        <w:t>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w:t>
      </w:r>
      <w:r w:rsidRPr="00AD418E">
        <w:rPr>
          <w:rFonts w:ascii="Times New Roman" w:hAnsi="Times New Roman"/>
          <w:sz w:val="24"/>
        </w:rPr>
        <w:lastRenderedPageBreak/>
        <w:t xml:space="preserve">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 xml:space="preserve">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w:t>
      </w:r>
      <w:r w:rsidRPr="00AD418E">
        <w:rPr>
          <w:rFonts w:ascii="Times New Roman" w:hAnsi="Times New Roman"/>
          <w:sz w:val="24"/>
        </w:rPr>
        <w:lastRenderedPageBreak/>
        <w:t>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lastRenderedPageBreak/>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w:t>
      </w:r>
      <w:r w:rsidRPr="00AD418E">
        <w:rPr>
          <w:rFonts w:ascii="Times New Roman" w:hAnsi="Times New Roman"/>
          <w:sz w:val="24"/>
        </w:rPr>
        <w:lastRenderedPageBreak/>
        <w:t>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lastRenderedPageBreak/>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13.2. В случае невозможности разрешения возникших разногласий и споров путем </w:t>
      </w:r>
      <w:r w:rsidRPr="00AD418E">
        <w:rPr>
          <w:rFonts w:ascii="Times New Roman" w:hAnsi="Times New Roman"/>
          <w:sz w:val="24"/>
        </w:rPr>
        <w:lastRenderedPageBreak/>
        <w:t>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AD418E">
        <w:rPr>
          <w:rFonts w:ascii="Times New Roman" w:hAnsi="Times New Roman"/>
          <w:color w:val="000000"/>
          <w:sz w:val="24"/>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lastRenderedPageBreak/>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lastRenderedPageBreak/>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lastRenderedPageBreak/>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1A4DD9"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DD9" w:rsidRDefault="001A4DD9">
      <w:r>
        <w:separator/>
      </w:r>
    </w:p>
  </w:endnote>
  <w:endnote w:type="continuationSeparator" w:id="0">
    <w:p w:rsidR="001A4DD9" w:rsidRDefault="001A4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1A4DD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C1752C">
      <w:rPr>
        <w:rStyle w:val="ae"/>
        <w:noProof/>
      </w:rPr>
      <w:t>14</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DD9" w:rsidRDefault="001A4DD9">
      <w:r>
        <w:separator/>
      </w:r>
    </w:p>
  </w:footnote>
  <w:footnote w:type="continuationSeparator" w:id="0">
    <w:p w:rsidR="001A4DD9" w:rsidRDefault="001A4D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1A4DD9"/>
    <w:rsid w:val="00233DA7"/>
    <w:rsid w:val="00386B31"/>
    <w:rsid w:val="00517F50"/>
    <w:rsid w:val="00634CCA"/>
    <w:rsid w:val="006664A0"/>
    <w:rsid w:val="00705661"/>
    <w:rsid w:val="008643A3"/>
    <w:rsid w:val="009471A4"/>
    <w:rsid w:val="009D0EA4"/>
    <w:rsid w:val="009E63D4"/>
    <w:rsid w:val="00A3386B"/>
    <w:rsid w:val="00AD418E"/>
    <w:rsid w:val="00B62185"/>
    <w:rsid w:val="00C1752C"/>
    <w:rsid w:val="00D530E9"/>
    <w:rsid w:val="00DA757B"/>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33</Pages>
  <Words>14547</Words>
  <Characters>82923</Characters>
  <Application>Microsoft Office Word</Application>
  <DocSecurity>0</DocSecurity>
  <Lines>691</Lines>
  <Paragraphs>194</Paragraphs>
  <ScaleCrop>false</ScaleCrop>
  <Company/>
  <LinksUpToDate>false</LinksUpToDate>
  <CharactersWithSpaces>97276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11</cp:revision>
  <dcterms:created xsi:type="dcterms:W3CDTF">2015-06-23T12:46:00Z</dcterms:created>
  <dcterms:modified xsi:type="dcterms:W3CDTF">2015-09-17T05:55:00Z</dcterms:modified>
</cp:coreProperties>
</file>