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D3698" w:rsidP="006B2D21">
      <w:pPr>
        <w:pStyle w:val="23"/>
        <w:keepLines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B2D21">
        <w:rPr>
          <w:sz w:val="28"/>
          <w:szCs w:val="28"/>
        </w:rPr>
        <w:t>1 к форме 5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ТЕХНИЧЕСКОЕ ЗАДАНИЕ</w:t>
      </w:r>
    </w:p>
    <w:p w:rsidR="006D3698" w:rsidRDefault="006D3698">
      <w:pPr>
        <w:ind w:left="425"/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53"/>
        <w:gridCol w:w="7961"/>
      </w:tblGrid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Заказчик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</w:pPr>
            <w:r>
              <w:rPr>
                <w:sz w:val="24"/>
                <w:szCs w:val="24"/>
              </w:rPr>
              <w:t>Открытое акционерное общество «Славнефть-Мегионнефтегаз»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Состав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насосов на производственной базе Исполнителя.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Границей ответственности Исполнителя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КР насоса  (требования)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Увеличение ресурса насоса до значений не менее указанных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к.п.д. насоса в номинальной точке рабочей характеристики не менее указанного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 xml:space="preserve">С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Срок выполнения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капитального ремонта с энергоэффективным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>Место оказания услуг при монтаже насосов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Ориентировочное расстояние от г.Мегиона,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1.Аганское – 58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2.Южно-Аганское – 33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3.Ватинское – 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4.Северо-Покурское – 40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Северо-Ореховское (зап. купол) - 44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7.Мыхпайское – 19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8.Мегионское – 30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9.Кысомское – 104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10.Узунское – 116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11.Аригольское – 210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12.Покамасовкое – 105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13.Кетовское – 165 км (33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14.Ново-Покурское – 166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15.Северо-Островное – 205 км (35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16.Южно-Локосовское – 207 км (60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17.Ачимовское – 278 км (92,5 км зимник, 72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18.Чистинное – 318 км (92,5 км зимник, 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19.Тайлаковское – 493 км (130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20.Западно-Усть-Балыкское – 290 км (16 км зимник, 6,5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21.Западно-Асомкинское – 335 км (23 км грунтовой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Формирование заявок на выполнение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 капитальный ремонт (КР):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Исполнителю план КР с приложением технологической карты дизайна по каждому насосу. Согласованный ответственным лицом Исполнителя план КР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78457A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 выполнения внепланового КР главный механик Заказчика производит корректировку плана КР по согласованию с Исполнителем.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к документации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 оказания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Завоз/вывоз насосов на КР оформляется актом в двух экземплярах</w:t>
            </w:r>
            <w:r>
              <w:rPr>
                <w:sz w:val="24"/>
                <w:szCs w:val="24"/>
              </w:rPr>
              <w:t>. Заполняется при передаче насоса в ремонт/из ремонта, указывается заводской №.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Заказчиком Исполнителю при сдаче оборудования в ремонт;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Исполнителем Заказчику при передаче оборудования из ремонта с записью о проведенном ремонте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Дефектная ведомость на каждый насос согласовывается представителем ОГМ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Ремонтная карта по форме Заказчика составляется Исполнителем в процессе ремонта,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стендовых испытаний насоса составляется Исполнителем в процессе стендовых испытаний,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учета выполненных КР насосов ведется на базе Исполнителя. </w:t>
            </w:r>
            <w:r>
              <w:rPr>
                <w:sz w:val="24"/>
                <w:szCs w:val="24"/>
              </w:rPr>
              <w:lastRenderedPageBreak/>
              <w:t>Журнал предъявляется Заказчику по требованию.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испытаний ведется на базе Исполнителя. Предоставляется Заказчику по требованию.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0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Объем услуг, выполняемый Исполнителем при КР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операций, выполняемых для восстановления исправности насоса, восстановления рабочей характеристики и к.п.д.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КР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КР включает доставку, т.е. содержит грузоподъемные операции и перевозку насоса с объекта или места хранения Заказчика на базу Исполнителя и обратно.</w:t>
            </w:r>
          </w:p>
          <w:p w:rsidR="006D3698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КР включает монтаж насоса.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Объем услуг, выполняемый Исполнителем при монтаже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Доставка насоса автотранспортом Исполнителя, разгрузка на площадку перед машзалом на объекте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 приспособление, перемещение </w:t>
            </w:r>
            <w:r>
              <w:rPr>
                <w:rStyle w:val="11pt"/>
                <w:sz w:val="24"/>
                <w:szCs w:val="24"/>
              </w:rPr>
              <w:t>насоса с площадки перед машзалом в помещение машзала на раму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замена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Центровка НА, включая затяжку креплений электродвигателя. Сборка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Присутствие при пробном запуске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Запись результатов услуг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НА).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171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Порядок контроля качества и </w:t>
            </w:r>
            <w:r>
              <w:rPr>
                <w:rStyle w:val="11pt"/>
                <w:sz w:val="24"/>
                <w:szCs w:val="24"/>
              </w:rPr>
              <w:lastRenderedPageBreak/>
              <w:t>приёмки оказанных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Заказчик выборочно проводит аудит выполняемых Исполнителем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Исполнитель по окончании ремонта проводит стендовые испытания насоса. При испытаниях суммарная погрешность измерений и вычислений не должна превышать </w:t>
            </w:r>
            <w:r>
              <w:rPr>
                <w:sz w:val="24"/>
                <w:szCs w:val="24"/>
                <w:shd w:val="clear" w:color="auto" w:fill="CCCCCC"/>
              </w:rPr>
              <w:t>2</w:t>
            </w:r>
            <w:r>
              <w:rPr>
                <w:sz w:val="24"/>
                <w:szCs w:val="24"/>
              </w:rPr>
              <w:t>%. Протокол испытания должен 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к.п.д. Результаты испытания направляются электронно в ОГМ Заказчика и являются основанием для принятия решения о доставке и монтаже насоса.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НА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НА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услуга не считается выполненной. Недостатки подлежат устранению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согласованный с Заказчиком, при этом демонтаж и монтаж производится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обеспечивает оборудование насосов приспособлением для контроля разбега ротора насоса. При отсутствии возможности контроля разбега ротора насоса персоналом Заказчика все отказы НА устраняются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выставки насоса Исполнителем в Журнал ТОиР вносится запись о результатах выставки в виде остаточных отклонений от горизонтальности в продольном и поперечном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центровки НА Исполнителем в Журнал ТОиР вносится запись о результатах центровки (либо выдается протокол центровки) – </w:t>
            </w:r>
            <w:r>
              <w:rPr>
                <w:sz w:val="24"/>
                <w:szCs w:val="24"/>
              </w:rPr>
              <w:lastRenderedPageBreak/>
              <w:t>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85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Требования к внутреннему контролю качества Исполнителя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безопасности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  <w:r>
              <w:rPr>
                <w:sz w:val="24"/>
                <w:szCs w:val="24"/>
              </w:rPr>
              <w:t>Работники, выполняющие услуги, в т.ч. перемещение грузов, должны быть обучены и аттестованы в установленном порядке.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Прочие условия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>
              <w:rPr>
                <w:rStyle w:val="11pt"/>
                <w:sz w:val="24"/>
                <w:szCs w:val="24"/>
              </w:rPr>
              <w:t xml:space="preserve">осуществляются </w:t>
            </w:r>
            <w:r>
              <w:rPr>
                <w:rStyle w:val="20"/>
                <w:sz w:val="24"/>
                <w:szCs w:val="24"/>
              </w:rPr>
              <w:t>Исполнителем за счёт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услуг соблюдать принципы промышленной эстетики.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ремонта насосов согласовывать с главным механиком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процессе монтажа насоса персонал Исполнителя выполняет снятие и установку первичных датчиков температуры, а также первичных </w:t>
            </w:r>
            <w:r>
              <w:rPr>
                <w:sz w:val="24"/>
                <w:szCs w:val="24"/>
              </w:rPr>
              <w:lastRenderedPageBreak/>
              <w:t>датчиков осевого положения ротора (при наличии) совместно с персоналом организации, обслуживающей КИПиА.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6D3698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>
              <w:rPr>
                <w:sz w:val="24"/>
                <w:szCs w:val="24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по возможности обеспечивает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обеспечивает благоприятный тепловой режим и нормы освещенности в насосных блоках при выполнении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Гарантийные обязательства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Исполнитель гарантирует: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Достижение целей КР;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НА в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Безопасную и эффективную эксплуатацию НА в течение гарантийного срока до следующего КР 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среднеагресссивных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>
              <w:rPr>
                <w:rStyle w:val="20"/>
                <w:sz w:val="24"/>
                <w:szCs w:val="24"/>
              </w:rPr>
              <w:t xml:space="preserve">При этом снижение к.п.д.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>% от первоначального к.п.д., зафиксированного в акте ввода в эксплуатацию.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</w:tbl>
    <w:p w:rsidR="006D3698" w:rsidRDefault="006D3698">
      <w:pPr>
        <w:ind w:left="360"/>
        <w:rPr>
          <w:sz w:val="16"/>
        </w:rPr>
      </w:pPr>
    </w:p>
    <w:p w:rsidR="006D3698" w:rsidRDefault="006D3698">
      <w:r>
        <w:t>Сокращения, использованные в техническом задании:</w:t>
      </w:r>
    </w:p>
    <w:p w:rsidR="006D3698" w:rsidRDefault="006D3698"/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6D3698" w:rsidRDefault="006D3698">
      <w:r>
        <w:rPr>
          <w:b/>
        </w:rPr>
        <w:t>КР</w:t>
      </w:r>
      <w:r w:rsidR="009C2DD7">
        <w:rPr>
          <w:b/>
        </w:rPr>
        <w:t xml:space="preserve"> насоса</w:t>
      </w:r>
      <w:r>
        <w:rPr>
          <w:b/>
        </w:rPr>
        <w:t xml:space="preserve"> – </w:t>
      </w:r>
      <w:r>
        <w:t>капитальный ремонт</w:t>
      </w:r>
      <w:r w:rsidR="009C2DD7">
        <w:t xml:space="preserve"> насоса с энергоэффективным дизайном</w:t>
      </w:r>
      <w:r>
        <w:t>;</w:t>
      </w:r>
    </w:p>
    <w:p w:rsidR="006D3698" w:rsidRDefault="006D3698"/>
    <w:p w:rsidR="006D3698" w:rsidRDefault="006D3698"/>
    <w:p w:rsidR="006D3698" w:rsidRDefault="006D3698"/>
    <w:p w:rsidR="006D3698" w:rsidRDefault="006D3698">
      <w:pPr>
        <w:rPr>
          <w:b/>
          <w:bCs/>
        </w:rPr>
      </w:pPr>
      <w:bookmarkStart w:id="0" w:name="_GoBack"/>
      <w:bookmarkEnd w:id="0"/>
    </w:p>
    <w:p w:rsidR="006D3698" w:rsidRDefault="006D3698">
      <w:pPr>
        <w:ind w:left="540" w:hanging="540"/>
        <w:jc w:val="right"/>
      </w:pPr>
    </w:p>
    <w:sectPr w:rsidR="006D3698" w:rsidSect="006B2D21">
      <w:headerReference w:type="default" r:id="rId8"/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6B2D21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6B2D21">
                  <w:rPr>
                    <w:rStyle w:val="a4"/>
                    <w:noProof/>
                  </w:rPr>
                  <w:t>6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96099"/>
    <w:rsid w:val="00115085"/>
    <w:rsid w:val="001839F1"/>
    <w:rsid w:val="001D75D6"/>
    <w:rsid w:val="00286033"/>
    <w:rsid w:val="00481A0A"/>
    <w:rsid w:val="005D5FC3"/>
    <w:rsid w:val="006428AC"/>
    <w:rsid w:val="006B2D21"/>
    <w:rsid w:val="006D1554"/>
    <w:rsid w:val="006D3698"/>
    <w:rsid w:val="0078457A"/>
    <w:rsid w:val="008749E0"/>
    <w:rsid w:val="008B699C"/>
    <w:rsid w:val="009C2DD7"/>
    <w:rsid w:val="00A15DE1"/>
    <w:rsid w:val="00AA3E60"/>
    <w:rsid w:val="00AD08D0"/>
    <w:rsid w:val="00B374E2"/>
    <w:rsid w:val="00E30B9E"/>
    <w:rsid w:val="00E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2</cp:revision>
  <cp:lastPrinted>2014-07-31T03:07:00Z</cp:lastPrinted>
  <dcterms:created xsi:type="dcterms:W3CDTF">2014-11-20T10:35:00Z</dcterms:created>
  <dcterms:modified xsi:type="dcterms:W3CDTF">2014-11-20T10:35:00Z</dcterms:modified>
</cp:coreProperties>
</file>