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62B83">
            <w:pPr>
              <w:spacing w:before="0"/>
              <w:jc w:val="right"/>
              <w:rPr>
                <w:rFonts w:ascii="Times New Roman" w:hAnsi="Times New Roman"/>
                <w:sz w:val="24"/>
              </w:rPr>
            </w:pPr>
            <w:r w:rsidRPr="000127F9">
              <w:rPr>
                <w:rFonts w:ascii="Times New Roman" w:hAnsi="Times New Roman"/>
                <w:sz w:val="24"/>
              </w:rPr>
              <w:t>Протокол  № __</w:t>
            </w:r>
            <w:r w:rsidR="00362B83">
              <w:rPr>
                <w:rFonts w:ascii="Times New Roman" w:hAnsi="Times New Roman"/>
                <w:sz w:val="24"/>
              </w:rPr>
              <w:t>621</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362B83">
            <w:pPr>
              <w:spacing w:before="0"/>
              <w:jc w:val="right"/>
              <w:rPr>
                <w:rFonts w:ascii="Times New Roman" w:hAnsi="Times New Roman"/>
                <w:sz w:val="24"/>
              </w:rPr>
            </w:pPr>
            <w:r w:rsidRPr="000127F9">
              <w:rPr>
                <w:rFonts w:ascii="Times New Roman" w:hAnsi="Times New Roman"/>
                <w:sz w:val="24"/>
              </w:rPr>
              <w:t>«__</w:t>
            </w:r>
            <w:r w:rsidR="00362B83">
              <w:rPr>
                <w:rFonts w:ascii="Times New Roman" w:hAnsi="Times New Roman"/>
                <w:sz w:val="24"/>
              </w:rPr>
              <w:t>04</w:t>
            </w:r>
            <w:r w:rsidRPr="000127F9">
              <w:rPr>
                <w:rFonts w:ascii="Times New Roman" w:hAnsi="Times New Roman"/>
                <w:sz w:val="24"/>
              </w:rPr>
              <w:t>» ___</w:t>
            </w:r>
            <w:r w:rsidR="00362B83">
              <w:rPr>
                <w:rFonts w:ascii="Times New Roman" w:hAnsi="Times New Roman"/>
                <w:sz w:val="24"/>
              </w:rPr>
              <w:t>12</w:t>
            </w:r>
            <w:r w:rsidRPr="000127F9">
              <w:rPr>
                <w:rFonts w:ascii="Times New Roman" w:hAnsi="Times New Roman"/>
                <w:sz w:val="24"/>
              </w:rPr>
              <w:t xml:space="preserve">______  </w:t>
            </w:r>
            <w:r w:rsidR="00362B83">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C54676">
        <w:rPr>
          <w:rFonts w:ascii="Times New Roman" w:hAnsi="Times New Roman"/>
          <w:b/>
          <w:color w:val="2000E2"/>
          <w:sz w:val="24"/>
        </w:rPr>
        <w:t>864</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362B83">
        <w:rPr>
          <w:rFonts w:ascii="Times New Roman" w:hAnsi="Times New Roman"/>
          <w:b/>
          <w:color w:val="2000E2"/>
          <w:sz w:val="24"/>
        </w:rPr>
        <w:t>04</w:t>
      </w:r>
      <w:r w:rsidR="00341539" w:rsidRPr="00710444">
        <w:rPr>
          <w:rFonts w:ascii="Times New Roman" w:hAnsi="Times New Roman"/>
          <w:b/>
          <w:color w:val="2000E2"/>
          <w:sz w:val="24"/>
        </w:rPr>
        <w:t xml:space="preserve"> » ____</w:t>
      </w:r>
      <w:r w:rsidR="00362B83">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C54676">
        <w:rPr>
          <w:rFonts w:ascii="Times New Roman" w:hAnsi="Times New Roman"/>
          <w:b/>
          <w:color w:val="2000E2"/>
          <w:sz w:val="24"/>
        </w:rPr>
        <w:t>864</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CE72A0">
        <w:rPr>
          <w:rFonts w:ascii="Times New Roman" w:hAnsi="Times New Roman"/>
          <w:b/>
          <w:color w:val="2000E2"/>
          <w:sz w:val="24"/>
        </w:rPr>
        <w:t>04</w:t>
      </w:r>
      <w:r w:rsidRPr="00710444">
        <w:rPr>
          <w:rFonts w:ascii="Times New Roman" w:hAnsi="Times New Roman"/>
          <w:b/>
          <w:color w:val="2000E2"/>
          <w:sz w:val="24"/>
        </w:rPr>
        <w:t xml:space="preserve">   » ____</w:t>
      </w:r>
      <w:r w:rsidR="00CE72A0">
        <w:rPr>
          <w:rFonts w:ascii="Times New Roman" w:hAnsi="Times New Roman"/>
          <w:b/>
          <w:color w:val="2000E2"/>
          <w:sz w:val="24"/>
        </w:rPr>
        <w:t>12</w:t>
      </w:r>
      <w:r w:rsidRPr="00710444">
        <w:rPr>
          <w:rFonts w:ascii="Times New Roman" w:hAnsi="Times New Roman"/>
          <w:b/>
          <w:color w:val="2000E2"/>
          <w:sz w:val="24"/>
        </w:rPr>
        <w:t>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E72A0">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CE72A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E72A0">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CE72A0">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C54676">
        <w:rPr>
          <w:rFonts w:ascii="Times New Roman" w:hAnsi="Times New Roman"/>
          <w:b/>
          <w:color w:val="2000E2"/>
          <w:sz w:val="24"/>
        </w:rPr>
        <w:t>864</w:t>
      </w:r>
      <w:r w:rsidR="00730DAA">
        <w:rPr>
          <w:rFonts w:ascii="Times New Roman" w:hAnsi="Times New Roman"/>
          <w:b/>
          <w:color w:val="2000E2"/>
          <w:sz w:val="24"/>
        </w:rPr>
        <w:t>/ТК/2015</w:t>
      </w:r>
      <w:r w:rsidR="00F02084" w:rsidRPr="00710444">
        <w:rPr>
          <w:rFonts w:ascii="Times New Roman" w:hAnsi="Times New Roman"/>
          <w:b/>
          <w:color w:val="2000E2"/>
          <w:sz w:val="24"/>
        </w:rPr>
        <w:t>г. от «__</w:t>
      </w:r>
      <w:r w:rsidR="00CE72A0">
        <w:rPr>
          <w:rFonts w:ascii="Times New Roman" w:hAnsi="Times New Roman"/>
          <w:b/>
          <w:color w:val="2000E2"/>
          <w:sz w:val="24"/>
        </w:rPr>
        <w:t>04</w:t>
      </w:r>
      <w:r w:rsidR="00F02084" w:rsidRPr="00710444">
        <w:rPr>
          <w:rFonts w:ascii="Times New Roman" w:hAnsi="Times New Roman"/>
          <w:b/>
          <w:color w:val="2000E2"/>
          <w:sz w:val="24"/>
        </w:rPr>
        <w:t>_»___</w:t>
      </w:r>
      <w:r w:rsidR="00CE72A0">
        <w:rPr>
          <w:rFonts w:ascii="Times New Roman" w:hAnsi="Times New Roman"/>
          <w:b/>
          <w:color w:val="2000E2"/>
          <w:sz w:val="24"/>
        </w:rPr>
        <w:t>12</w:t>
      </w:r>
      <w:r w:rsidR="00F02084" w:rsidRPr="00710444">
        <w:rPr>
          <w:rFonts w:ascii="Times New Roman" w:hAnsi="Times New Roman"/>
          <w:b/>
          <w:color w:val="2000E2"/>
          <w:sz w:val="24"/>
        </w:rPr>
        <w:t>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F6773D" w:rsidRPr="00F6773D">
        <w:rPr>
          <w:rFonts w:ascii="Times New Roman" w:hAnsi="Times New Roman"/>
          <w:color w:val="2000E2"/>
          <w:sz w:val="24"/>
        </w:rPr>
        <w:t>Обустройство Северо-</w:t>
      </w:r>
      <w:proofErr w:type="spellStart"/>
      <w:r w:rsidR="00F6773D" w:rsidRPr="00F6773D">
        <w:rPr>
          <w:rFonts w:ascii="Times New Roman" w:hAnsi="Times New Roman"/>
          <w:color w:val="2000E2"/>
          <w:sz w:val="24"/>
        </w:rPr>
        <w:t>Покурского</w:t>
      </w:r>
      <w:proofErr w:type="spellEnd"/>
      <w:r w:rsidR="00F6773D" w:rsidRPr="00F6773D">
        <w:rPr>
          <w:rFonts w:ascii="Times New Roman" w:hAnsi="Times New Roman"/>
          <w:color w:val="2000E2"/>
          <w:sz w:val="24"/>
        </w:rPr>
        <w:t xml:space="preserve"> месторождения нефти. Ку</w:t>
      </w:r>
      <w:proofErr w:type="gramStart"/>
      <w:r w:rsidR="00F6773D" w:rsidRPr="00F6773D">
        <w:rPr>
          <w:rFonts w:ascii="Times New Roman" w:hAnsi="Times New Roman"/>
          <w:color w:val="2000E2"/>
          <w:sz w:val="24"/>
        </w:rPr>
        <w:t>ст скв</w:t>
      </w:r>
      <w:proofErr w:type="gramEnd"/>
      <w:r w:rsidR="00F6773D" w:rsidRPr="00F6773D">
        <w:rPr>
          <w:rFonts w:ascii="Times New Roman" w:hAnsi="Times New Roman"/>
          <w:color w:val="2000E2"/>
          <w:sz w:val="24"/>
        </w:rPr>
        <w:t>ажин №116</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C54676">
              <w:rPr>
                <w:rFonts w:ascii="Times New Roman" w:hAnsi="Times New Roman"/>
                <w:color w:val="2000E2"/>
                <w:sz w:val="24"/>
                <w:szCs w:val="24"/>
              </w:rPr>
              <w:t>1303.4.806</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F6773D">
              <w:rPr>
                <w:rFonts w:ascii="Times New Roman" w:hAnsi="Times New Roman"/>
                <w:color w:val="2000E2"/>
                <w:sz w:val="24"/>
              </w:rPr>
              <w:t>1.01</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A63994" w:rsidP="00896683">
            <w:pPr>
              <w:pStyle w:val="ae"/>
              <w:rPr>
                <w:rFonts w:ascii="Times New Roman" w:hAnsi="Times New Roman"/>
                <w:sz w:val="24"/>
                <w:szCs w:val="24"/>
              </w:rPr>
            </w:pPr>
            <w:r>
              <w:rPr>
                <w:rFonts w:ascii="Times New Roman" w:hAnsi="Times New Roman"/>
                <w:sz w:val="24"/>
                <w:szCs w:val="24"/>
              </w:rPr>
              <w:t>Распределение денежных средств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54676">
        <w:rPr>
          <w:rFonts w:ascii="Times New Roman" w:hAnsi="Times New Roman"/>
          <w:color w:val="2000E2"/>
          <w:sz w:val="24"/>
        </w:rPr>
        <w:t>1303.4.806</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3941CA">
        <w:rPr>
          <w:rFonts w:ascii="Times New Roman" w:hAnsi="Times New Roman"/>
          <w:color w:val="2000E2"/>
          <w:sz w:val="24"/>
        </w:rPr>
        <w:t>3</w:t>
      </w:r>
      <w:r w:rsidR="00F6773D">
        <w:rPr>
          <w:rFonts w:ascii="Times New Roman" w:hAnsi="Times New Roman"/>
          <w:color w:val="2000E2"/>
          <w:sz w:val="24"/>
        </w:rPr>
        <w:t>1</w:t>
      </w:r>
      <w:r w:rsidR="00730DAA" w:rsidRPr="00730DAA">
        <w:rPr>
          <w:rFonts w:ascii="Times New Roman" w:hAnsi="Times New Roman"/>
          <w:color w:val="2000E2"/>
          <w:sz w:val="24"/>
        </w:rPr>
        <w:t>.</w:t>
      </w:r>
      <w:r w:rsidR="00A63994">
        <w:rPr>
          <w:rFonts w:ascii="Times New Roman" w:hAnsi="Times New Roman"/>
          <w:color w:val="2000E2"/>
          <w:sz w:val="24"/>
        </w:rPr>
        <w:t>0</w:t>
      </w:r>
      <w:r w:rsidR="00F6773D">
        <w:rPr>
          <w:rFonts w:ascii="Times New Roman" w:hAnsi="Times New Roman"/>
          <w:color w:val="2000E2"/>
          <w:sz w:val="24"/>
        </w:rPr>
        <w:t>1</w:t>
      </w:r>
      <w:r w:rsidR="00730DAA" w:rsidRPr="00730DAA">
        <w:rPr>
          <w:rFonts w:ascii="Times New Roman" w:hAnsi="Times New Roman"/>
          <w:color w:val="2000E2"/>
          <w:sz w:val="24"/>
        </w:rPr>
        <w:t>.201</w:t>
      </w:r>
      <w:r w:rsidR="00A63994">
        <w:rPr>
          <w:rFonts w:ascii="Times New Roman" w:hAnsi="Times New Roman"/>
          <w:color w:val="2000E2"/>
          <w:sz w:val="24"/>
        </w:rPr>
        <w:t>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54676">
        <w:rPr>
          <w:rFonts w:ascii="Times New Roman" w:hAnsi="Times New Roman"/>
          <w:color w:val="2000E2"/>
          <w:sz w:val="24"/>
        </w:rPr>
        <w:t>1303.4.806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C54676">
        <w:rPr>
          <w:rFonts w:ascii="Times New Roman" w:hAnsi="Times New Roman"/>
          <w:color w:val="2000E2"/>
          <w:sz w:val="24"/>
        </w:rPr>
        <w:t>1303.4.806</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10222" w:type="dxa"/>
        <w:tblInd w:w="93" w:type="dxa"/>
        <w:tblLayout w:type="fixed"/>
        <w:tblLook w:val="04A0" w:firstRow="1" w:lastRow="0" w:firstColumn="1" w:lastColumn="0" w:noHBand="0" w:noVBand="1"/>
      </w:tblPr>
      <w:tblGrid>
        <w:gridCol w:w="476"/>
        <w:gridCol w:w="2374"/>
        <w:gridCol w:w="2552"/>
        <w:gridCol w:w="1243"/>
        <w:gridCol w:w="1560"/>
        <w:gridCol w:w="2017"/>
      </w:tblGrid>
      <w:tr w:rsidR="00F6773D" w:rsidRPr="00F6773D" w:rsidTr="00F6773D">
        <w:trPr>
          <w:trHeight w:val="945"/>
        </w:trPr>
        <w:tc>
          <w:tcPr>
            <w:tcW w:w="476"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 </w:t>
            </w:r>
            <w:proofErr w:type="gramStart"/>
            <w:r w:rsidRPr="00F6773D">
              <w:rPr>
                <w:rFonts w:ascii="Times New Roman" w:hAnsi="Times New Roman"/>
                <w:bCs/>
                <w:sz w:val="20"/>
                <w:szCs w:val="20"/>
              </w:rPr>
              <w:t>п</w:t>
            </w:r>
            <w:proofErr w:type="gramEnd"/>
            <w:r w:rsidRPr="00F6773D">
              <w:rPr>
                <w:rFonts w:ascii="Times New Roman" w:hAnsi="Times New Roman"/>
                <w:bCs/>
                <w:sz w:val="20"/>
                <w:szCs w:val="20"/>
              </w:rPr>
              <w:t>/п</w:t>
            </w:r>
          </w:p>
        </w:tc>
        <w:tc>
          <w:tcPr>
            <w:tcW w:w="2374" w:type="dxa"/>
            <w:tcBorders>
              <w:top w:val="single" w:sz="4"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Содержание требования</w:t>
            </w:r>
          </w:p>
        </w:tc>
        <w:tc>
          <w:tcPr>
            <w:tcW w:w="2552" w:type="dxa"/>
            <w:tcBorders>
              <w:top w:val="single" w:sz="4"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Подтверждение соответствия требованию</w:t>
            </w:r>
          </w:p>
        </w:tc>
        <w:tc>
          <w:tcPr>
            <w:tcW w:w="1243" w:type="dxa"/>
            <w:tcBorders>
              <w:top w:val="single" w:sz="4" w:space="0" w:color="auto"/>
              <w:left w:val="nil"/>
              <w:bottom w:val="single" w:sz="8" w:space="0" w:color="auto"/>
              <w:right w:val="nil"/>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Единица измерения</w:t>
            </w:r>
          </w:p>
        </w:tc>
        <w:tc>
          <w:tcPr>
            <w:tcW w:w="3577" w:type="dxa"/>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Критерии оценки соответствия требованию</w:t>
            </w:r>
          </w:p>
        </w:tc>
      </w:tr>
      <w:tr w:rsidR="00F6773D" w:rsidRPr="00F6773D" w:rsidTr="00F6773D">
        <w:trPr>
          <w:trHeight w:val="705"/>
        </w:trPr>
        <w:tc>
          <w:tcPr>
            <w:tcW w:w="1022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F6773D" w:rsidRPr="00F6773D" w:rsidTr="00F6773D">
        <w:trPr>
          <w:trHeight w:val="205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1</w:t>
            </w:r>
          </w:p>
        </w:tc>
        <w:tc>
          <w:tcPr>
            <w:tcW w:w="2374" w:type="dxa"/>
            <w:vMerge w:val="restart"/>
            <w:tcBorders>
              <w:top w:val="nil"/>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color w:val="000000"/>
                <w:sz w:val="20"/>
                <w:szCs w:val="20"/>
              </w:rPr>
            </w:pPr>
            <w:proofErr w:type="gramStart"/>
            <w:r w:rsidRPr="00F6773D">
              <w:rPr>
                <w:rFonts w:ascii="Times New Roman" w:hAnsi="Times New Roman"/>
                <w:bCs/>
                <w:color w:val="000000"/>
                <w:sz w:val="20"/>
                <w:szCs w:val="20"/>
              </w:rPr>
              <w:t xml:space="preserve">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w:t>
            </w:r>
            <w:r w:rsidRPr="00F6773D">
              <w:rPr>
                <w:rFonts w:ascii="Times New Roman" w:hAnsi="Times New Roman"/>
                <w:bCs/>
                <w:color w:val="000000"/>
                <w:sz w:val="20"/>
                <w:szCs w:val="20"/>
              </w:rPr>
              <w:lastRenderedPageBreak/>
              <w:t>Градостроительным кодексом РФ)</w:t>
            </w:r>
            <w:proofErr w:type="gramEnd"/>
          </w:p>
        </w:tc>
        <w:tc>
          <w:tcPr>
            <w:tcW w:w="2552" w:type="dxa"/>
            <w:vMerge w:val="restart"/>
            <w:tcBorders>
              <w:top w:val="nil"/>
              <w:left w:val="single" w:sz="8" w:space="0" w:color="000000"/>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lastRenderedPageBreak/>
              <w:t>Копия действующего свидетельства СРО.  Иные разрешительные документы (при необходимости)</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Наличие/отсутствие</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Наличие свидетельства СРО. Наличие иных разрешительных документов (при необходимости).</w:t>
            </w:r>
          </w:p>
        </w:tc>
      </w:tr>
      <w:tr w:rsidR="00F6773D" w:rsidRPr="00F6773D" w:rsidTr="00F6773D">
        <w:trPr>
          <w:trHeight w:val="2055"/>
        </w:trPr>
        <w:tc>
          <w:tcPr>
            <w:tcW w:w="476"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374" w:type="dxa"/>
            <w:vMerge/>
            <w:tcBorders>
              <w:top w:val="nil"/>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nil"/>
              <w:left w:val="single" w:sz="8" w:space="0" w:color="000000"/>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F6773D" w:rsidRPr="00F6773D" w:rsidTr="00F6773D">
        <w:trPr>
          <w:trHeight w:val="114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lastRenderedPageBreak/>
              <w:t>2</w:t>
            </w:r>
          </w:p>
        </w:tc>
        <w:tc>
          <w:tcPr>
            <w:tcW w:w="2374" w:type="dxa"/>
            <w:vMerge w:val="restart"/>
            <w:tcBorders>
              <w:top w:val="nil"/>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2552" w:type="dxa"/>
            <w:vMerge w:val="restart"/>
            <w:tcBorders>
              <w:top w:val="nil"/>
              <w:left w:val="single" w:sz="8" w:space="0" w:color="000000"/>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Копия сертификата СМК ISO 9001-2011</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Наличие/отсутствие</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Наличие  сертификата СМК ISO 9001-2011.</w:t>
            </w:r>
          </w:p>
        </w:tc>
      </w:tr>
      <w:tr w:rsidR="00F6773D" w:rsidRPr="00F6773D" w:rsidTr="00F6773D">
        <w:trPr>
          <w:trHeight w:val="1140"/>
        </w:trPr>
        <w:tc>
          <w:tcPr>
            <w:tcW w:w="476"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374" w:type="dxa"/>
            <w:vMerge/>
            <w:tcBorders>
              <w:top w:val="nil"/>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nil"/>
              <w:left w:val="single" w:sz="8" w:space="0" w:color="000000"/>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Отсутствие сертификата СМК ISO 9001-2011.</w:t>
            </w:r>
          </w:p>
        </w:tc>
      </w:tr>
      <w:tr w:rsidR="00F6773D" w:rsidRPr="00F6773D" w:rsidTr="00F6773D">
        <w:trPr>
          <w:trHeight w:val="660"/>
        </w:trPr>
        <w:tc>
          <w:tcPr>
            <w:tcW w:w="1022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Требования к опыту</w:t>
            </w:r>
          </w:p>
        </w:tc>
      </w:tr>
      <w:tr w:rsidR="00F6773D" w:rsidRPr="00F6773D" w:rsidTr="00F6773D">
        <w:trPr>
          <w:trHeight w:val="1845"/>
        </w:trPr>
        <w:tc>
          <w:tcPr>
            <w:tcW w:w="476" w:type="dxa"/>
            <w:vMerge w:val="restart"/>
            <w:tcBorders>
              <w:top w:val="nil"/>
              <w:left w:val="single" w:sz="8" w:space="0" w:color="auto"/>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3</w:t>
            </w:r>
          </w:p>
        </w:tc>
        <w:tc>
          <w:tcPr>
            <w:tcW w:w="2374" w:type="dxa"/>
            <w:vMerge w:val="restart"/>
            <w:tcBorders>
              <w:top w:val="nil"/>
              <w:left w:val="single" w:sz="8" w:space="0" w:color="auto"/>
              <w:bottom w:val="nil"/>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Наличие опыта работы проектной организации в качестве ген. проектировщика по выполнению проектных работ по объектам технического перевооружения объектов, не менее 10 объектов за последние 3 года, подтвержденных положительным заключением ГГЭ или ЭП</w:t>
            </w:r>
            <w:proofErr w:type="gramStart"/>
            <w:r w:rsidRPr="00F6773D">
              <w:rPr>
                <w:rFonts w:ascii="Times New Roman" w:hAnsi="Times New Roman"/>
                <w:bCs/>
                <w:color w:val="000000"/>
                <w:sz w:val="20"/>
                <w:szCs w:val="20"/>
              </w:rPr>
              <w:t>Б(</w:t>
            </w:r>
            <w:proofErr w:type="gramEnd"/>
            <w:r w:rsidRPr="00F6773D">
              <w:rPr>
                <w:rFonts w:ascii="Times New Roman" w:hAnsi="Times New Roman"/>
                <w:bCs/>
                <w:color w:val="000000"/>
                <w:sz w:val="20"/>
                <w:szCs w:val="20"/>
              </w:rPr>
              <w:t>если требуется действующим законодательством).</w:t>
            </w:r>
          </w:p>
        </w:tc>
        <w:tc>
          <w:tcPr>
            <w:tcW w:w="2552" w:type="dxa"/>
            <w:vMerge w:val="restart"/>
            <w:tcBorders>
              <w:top w:val="nil"/>
              <w:left w:val="single" w:sz="8" w:space="0" w:color="000000"/>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proofErr w:type="gramStart"/>
            <w:r w:rsidRPr="00F6773D">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или ЭПБ,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 или  ЭПБ.</w:t>
            </w:r>
            <w:proofErr w:type="gramEnd"/>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Количество проектов по техническому перевооружению шт.</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F6773D" w:rsidRPr="00F6773D" w:rsidTr="00F6773D">
        <w:trPr>
          <w:trHeight w:val="2655"/>
        </w:trPr>
        <w:tc>
          <w:tcPr>
            <w:tcW w:w="476" w:type="dxa"/>
            <w:vMerge/>
            <w:tcBorders>
              <w:top w:val="nil"/>
              <w:left w:val="single" w:sz="8" w:space="0" w:color="auto"/>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nil"/>
              <w:left w:val="single" w:sz="8" w:space="0" w:color="auto"/>
              <w:bottom w:val="nil"/>
              <w:right w:val="single" w:sz="8" w:space="0" w:color="000000"/>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nil"/>
              <w:left w:val="single" w:sz="8" w:space="0" w:color="000000"/>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nil"/>
              <w:left w:val="nil"/>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F6773D">
              <w:rPr>
                <w:rFonts w:ascii="Times New Roman" w:hAnsi="Times New Roman"/>
                <w:bCs/>
                <w:sz w:val="20"/>
                <w:szCs w:val="20"/>
              </w:rPr>
              <w:t>Главгосэкспертизы</w:t>
            </w:r>
            <w:proofErr w:type="spellEnd"/>
            <w:r w:rsidRPr="00F6773D">
              <w:rPr>
                <w:rFonts w:ascii="Times New Roman" w:hAnsi="Times New Roman"/>
                <w:bCs/>
                <w:sz w:val="20"/>
                <w:szCs w:val="20"/>
              </w:rPr>
              <w:t xml:space="preserve"> России.</w:t>
            </w:r>
          </w:p>
        </w:tc>
      </w:tr>
      <w:tr w:rsidR="00F6773D" w:rsidRPr="00F6773D" w:rsidTr="00F6773D">
        <w:trPr>
          <w:trHeight w:val="190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4</w:t>
            </w:r>
          </w:p>
        </w:tc>
        <w:tc>
          <w:tcPr>
            <w:tcW w:w="237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2552" w:type="dxa"/>
            <w:vMerge w:val="restart"/>
            <w:tcBorders>
              <w:top w:val="single" w:sz="8" w:space="0" w:color="auto"/>
              <w:left w:val="nil"/>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F6773D">
              <w:rPr>
                <w:rFonts w:ascii="Times New Roman" w:hAnsi="Times New Roman"/>
                <w:bCs/>
                <w:sz w:val="20"/>
                <w:szCs w:val="20"/>
              </w:rPr>
              <w:t>документацию</w:t>
            </w:r>
            <w:proofErr w:type="gramEnd"/>
            <w:r w:rsidRPr="00F6773D">
              <w:rPr>
                <w:rFonts w:ascii="Times New Roman" w:hAnsi="Times New Roman"/>
                <w:bCs/>
                <w:sz w:val="20"/>
                <w:szCs w:val="20"/>
              </w:rPr>
              <w:t xml:space="preserve"> выполненную по договору.</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Количество лет</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single" w:sz="8"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F6773D">
              <w:rPr>
                <w:rFonts w:ascii="Times New Roman" w:hAnsi="Times New Roman"/>
                <w:bCs/>
                <w:sz w:val="20"/>
                <w:szCs w:val="20"/>
              </w:rPr>
              <w:t>вв</w:t>
            </w:r>
            <w:proofErr w:type="spellEnd"/>
            <w:proofErr w:type="gramEnd"/>
            <w:r w:rsidRPr="00F6773D">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F6773D" w:rsidRPr="00F6773D" w:rsidTr="00F6773D">
        <w:trPr>
          <w:trHeight w:val="1890"/>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single" w:sz="8" w:space="0" w:color="auto"/>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single" w:sz="8" w:space="0" w:color="auto"/>
              <w:left w:val="nil"/>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F6773D" w:rsidRPr="00F6773D" w:rsidTr="00F6773D">
        <w:trPr>
          <w:trHeight w:val="540"/>
        </w:trPr>
        <w:tc>
          <w:tcPr>
            <w:tcW w:w="1022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lastRenderedPageBreak/>
              <w:t xml:space="preserve">Требование о наличии трудовых ресурсов </w:t>
            </w:r>
          </w:p>
        </w:tc>
      </w:tr>
      <w:tr w:rsidR="00F6773D" w:rsidRPr="00F6773D" w:rsidTr="00F6773D">
        <w:trPr>
          <w:trHeight w:val="1320"/>
        </w:trPr>
        <w:tc>
          <w:tcPr>
            <w:tcW w:w="476" w:type="dxa"/>
            <w:vMerge w:val="restart"/>
            <w:tcBorders>
              <w:top w:val="nil"/>
              <w:left w:val="single" w:sz="8" w:space="0" w:color="auto"/>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5</w:t>
            </w:r>
          </w:p>
        </w:tc>
        <w:tc>
          <w:tcPr>
            <w:tcW w:w="2374" w:type="dxa"/>
            <w:vMerge w:val="restart"/>
            <w:tcBorders>
              <w:top w:val="nil"/>
              <w:left w:val="single" w:sz="8" w:space="0" w:color="auto"/>
              <w:bottom w:val="nil"/>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sz w:val="20"/>
                <w:szCs w:val="20"/>
              </w:rPr>
            </w:pPr>
            <w:r w:rsidRPr="00F6773D">
              <w:rPr>
                <w:rFonts w:ascii="Times New Roman" w:hAnsi="Times New Roman"/>
                <w:bCs/>
                <w:sz w:val="20"/>
                <w:szCs w:val="20"/>
              </w:rPr>
              <w:t>Наличие трудовых ресурсов у проектной организации (не менее 20 чел. инженеров проектировщиков)</w:t>
            </w:r>
          </w:p>
        </w:tc>
        <w:tc>
          <w:tcPr>
            <w:tcW w:w="2552" w:type="dxa"/>
            <w:vMerge w:val="restart"/>
            <w:tcBorders>
              <w:top w:val="nil"/>
              <w:left w:val="single" w:sz="8" w:space="0" w:color="000000"/>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43" w:type="dxa"/>
            <w:vMerge w:val="restart"/>
            <w:tcBorders>
              <w:top w:val="nil"/>
              <w:left w:val="single" w:sz="8" w:space="0" w:color="auto"/>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Количество инженеров </w:t>
            </w:r>
            <w:r>
              <w:rPr>
                <w:rFonts w:ascii="Times New Roman" w:hAnsi="Times New Roman"/>
                <w:bCs/>
                <w:sz w:val="20"/>
                <w:szCs w:val="20"/>
              </w:rPr>
              <w:t>проектировщиков</w:t>
            </w:r>
            <w:r w:rsidRPr="00F6773D">
              <w:rPr>
                <w:rFonts w:ascii="Times New Roman" w:hAnsi="Times New Roman"/>
                <w:bCs/>
                <w:sz w:val="20"/>
                <w:szCs w:val="20"/>
              </w:rPr>
              <w:t xml:space="preserve"> - чел.</w:t>
            </w:r>
          </w:p>
        </w:tc>
        <w:tc>
          <w:tcPr>
            <w:tcW w:w="1560" w:type="dxa"/>
            <w:tcBorders>
              <w:top w:val="nil"/>
              <w:left w:val="nil"/>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Кол-во трудовых ресурсов соответствует или превышает </w:t>
            </w:r>
            <w:proofErr w:type="gramStart"/>
            <w:r w:rsidRPr="00F6773D">
              <w:rPr>
                <w:rFonts w:ascii="Times New Roman" w:hAnsi="Times New Roman"/>
                <w:bCs/>
                <w:sz w:val="20"/>
                <w:szCs w:val="20"/>
              </w:rPr>
              <w:t>значение</w:t>
            </w:r>
            <w:proofErr w:type="gramEnd"/>
            <w:r w:rsidRPr="00F6773D">
              <w:rPr>
                <w:rFonts w:ascii="Times New Roman" w:hAnsi="Times New Roman"/>
                <w:bCs/>
                <w:sz w:val="20"/>
                <w:szCs w:val="20"/>
              </w:rPr>
              <w:t xml:space="preserve"> установленное в критерии</w:t>
            </w:r>
          </w:p>
        </w:tc>
      </w:tr>
      <w:tr w:rsidR="00F6773D" w:rsidRPr="00F6773D" w:rsidTr="00F6773D">
        <w:trPr>
          <w:trHeight w:val="1290"/>
        </w:trPr>
        <w:tc>
          <w:tcPr>
            <w:tcW w:w="476" w:type="dxa"/>
            <w:vMerge/>
            <w:tcBorders>
              <w:top w:val="nil"/>
              <w:left w:val="single" w:sz="8" w:space="0" w:color="auto"/>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nil"/>
              <w:left w:val="single" w:sz="8" w:space="0" w:color="auto"/>
              <w:bottom w:val="nil"/>
              <w:right w:val="single" w:sz="8" w:space="0" w:color="000000"/>
            </w:tcBorders>
            <w:vAlign w:val="center"/>
            <w:hideMark/>
          </w:tcPr>
          <w:p w:rsidR="00F6773D" w:rsidRPr="00F6773D" w:rsidRDefault="00F6773D" w:rsidP="00F6773D">
            <w:pPr>
              <w:spacing w:before="0"/>
              <w:rPr>
                <w:rFonts w:ascii="Times New Roman" w:hAnsi="Times New Roman"/>
                <w:bCs/>
                <w:sz w:val="20"/>
                <w:szCs w:val="20"/>
              </w:rPr>
            </w:pPr>
          </w:p>
        </w:tc>
        <w:tc>
          <w:tcPr>
            <w:tcW w:w="2552" w:type="dxa"/>
            <w:vMerge/>
            <w:tcBorders>
              <w:top w:val="nil"/>
              <w:left w:val="single" w:sz="8" w:space="0" w:color="000000"/>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nil"/>
              <w:left w:val="single" w:sz="8" w:space="0" w:color="auto"/>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single" w:sz="4"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Кол-во трудовых ресурсов, менее значения, установленного в критерии.</w:t>
            </w:r>
          </w:p>
        </w:tc>
      </w:tr>
      <w:tr w:rsidR="00F6773D" w:rsidRPr="00F6773D" w:rsidTr="00F6773D">
        <w:trPr>
          <w:trHeight w:val="570"/>
        </w:trPr>
        <w:tc>
          <w:tcPr>
            <w:tcW w:w="10222" w:type="dxa"/>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 xml:space="preserve">Требование о наличии финансовых ресурсов </w:t>
            </w:r>
          </w:p>
        </w:tc>
      </w:tr>
      <w:tr w:rsidR="00F6773D" w:rsidRPr="00F6773D" w:rsidTr="00F6773D">
        <w:trPr>
          <w:trHeight w:val="130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6</w:t>
            </w:r>
          </w:p>
        </w:tc>
        <w:tc>
          <w:tcPr>
            <w:tcW w:w="2374" w:type="dxa"/>
            <w:vMerge w:val="restart"/>
            <w:tcBorders>
              <w:top w:val="nil"/>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sz w:val="20"/>
                <w:szCs w:val="20"/>
              </w:rPr>
            </w:pPr>
            <w:r w:rsidRPr="00F6773D">
              <w:rPr>
                <w:rFonts w:ascii="Times New Roman" w:hAnsi="Times New Roman"/>
                <w:bCs/>
                <w:sz w:val="20"/>
                <w:szCs w:val="20"/>
              </w:rPr>
              <w:t xml:space="preserve">Среднегодовой оборот подрядной организации за последние 3 года для выполнения ПИР  "техническое перевооружение объектов" не менее 35 </w:t>
            </w:r>
            <w:proofErr w:type="spellStart"/>
            <w:r w:rsidRPr="00F6773D">
              <w:rPr>
                <w:rFonts w:ascii="Times New Roman" w:hAnsi="Times New Roman"/>
                <w:bCs/>
                <w:sz w:val="20"/>
                <w:szCs w:val="20"/>
              </w:rPr>
              <w:t>млн</w:t>
            </w:r>
            <w:proofErr w:type="gramStart"/>
            <w:r w:rsidRPr="00F6773D">
              <w:rPr>
                <w:rFonts w:ascii="Times New Roman" w:hAnsi="Times New Roman"/>
                <w:bCs/>
                <w:sz w:val="20"/>
                <w:szCs w:val="20"/>
              </w:rPr>
              <w:t>.р</w:t>
            </w:r>
            <w:proofErr w:type="gramEnd"/>
            <w:r w:rsidRPr="00F6773D">
              <w:rPr>
                <w:rFonts w:ascii="Times New Roman" w:hAnsi="Times New Roman"/>
                <w:bCs/>
                <w:sz w:val="20"/>
                <w:szCs w:val="20"/>
              </w:rPr>
              <w:t>уб</w:t>
            </w:r>
            <w:proofErr w:type="spellEnd"/>
            <w:r w:rsidRPr="00F6773D">
              <w:rPr>
                <w:rFonts w:ascii="Times New Roman" w:hAnsi="Times New Roman"/>
                <w:bCs/>
                <w:sz w:val="20"/>
                <w:szCs w:val="20"/>
              </w:rPr>
              <w:t>.</w:t>
            </w:r>
          </w:p>
        </w:tc>
        <w:tc>
          <w:tcPr>
            <w:tcW w:w="2552" w:type="dxa"/>
            <w:vMerge w:val="restart"/>
            <w:tcBorders>
              <w:top w:val="nil"/>
              <w:left w:val="single" w:sz="8" w:space="0" w:color="000000"/>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proofErr w:type="gramStart"/>
            <w:r w:rsidRPr="00F6773D">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млн. </w:t>
            </w:r>
            <w:proofErr w:type="spellStart"/>
            <w:r w:rsidRPr="00F6773D">
              <w:rPr>
                <w:rFonts w:ascii="Times New Roman" w:hAnsi="Times New Roman"/>
                <w:bCs/>
                <w:sz w:val="20"/>
                <w:szCs w:val="20"/>
              </w:rPr>
              <w:t>руб</w:t>
            </w:r>
            <w:proofErr w:type="spellEnd"/>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Среднегодовой оборот </w:t>
            </w:r>
            <w:proofErr w:type="gramStart"/>
            <w:r w:rsidRPr="00F6773D">
              <w:rPr>
                <w:rFonts w:ascii="Times New Roman" w:hAnsi="Times New Roman"/>
                <w:bCs/>
                <w:sz w:val="20"/>
                <w:szCs w:val="20"/>
              </w:rPr>
              <w:t>за</w:t>
            </w:r>
            <w:proofErr w:type="gramEnd"/>
            <w:r w:rsidRPr="00F6773D">
              <w:rPr>
                <w:rFonts w:ascii="Times New Roman" w:hAnsi="Times New Roman"/>
                <w:bCs/>
                <w:sz w:val="20"/>
                <w:szCs w:val="20"/>
              </w:rPr>
              <w:t xml:space="preserve"> последние 3 года равен или больше установленного в критерии</w:t>
            </w:r>
          </w:p>
        </w:tc>
      </w:tr>
      <w:tr w:rsidR="00F6773D" w:rsidRPr="00F6773D" w:rsidTr="00F6773D">
        <w:trPr>
          <w:trHeight w:val="1305"/>
        </w:trPr>
        <w:tc>
          <w:tcPr>
            <w:tcW w:w="476"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nil"/>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sz w:val="20"/>
                <w:szCs w:val="20"/>
              </w:rPr>
            </w:pPr>
          </w:p>
        </w:tc>
        <w:tc>
          <w:tcPr>
            <w:tcW w:w="2552" w:type="dxa"/>
            <w:vMerge/>
            <w:tcBorders>
              <w:top w:val="nil"/>
              <w:left w:val="single" w:sz="8" w:space="0" w:color="000000"/>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xml:space="preserve">Среднегодовой оборот </w:t>
            </w:r>
            <w:proofErr w:type="gramStart"/>
            <w:r w:rsidRPr="00F6773D">
              <w:rPr>
                <w:rFonts w:ascii="Times New Roman" w:hAnsi="Times New Roman"/>
                <w:bCs/>
                <w:sz w:val="20"/>
                <w:szCs w:val="20"/>
              </w:rPr>
              <w:t>за</w:t>
            </w:r>
            <w:proofErr w:type="gramEnd"/>
            <w:r w:rsidRPr="00F6773D">
              <w:rPr>
                <w:rFonts w:ascii="Times New Roman" w:hAnsi="Times New Roman"/>
                <w:bCs/>
                <w:sz w:val="20"/>
                <w:szCs w:val="20"/>
              </w:rPr>
              <w:t xml:space="preserve"> последние 3 года меньше установленного в критерии</w:t>
            </w:r>
          </w:p>
        </w:tc>
      </w:tr>
      <w:tr w:rsidR="00F6773D" w:rsidRPr="00F6773D" w:rsidTr="00F6773D">
        <w:trPr>
          <w:trHeight w:val="480"/>
        </w:trPr>
        <w:tc>
          <w:tcPr>
            <w:tcW w:w="476" w:type="dxa"/>
            <w:tcBorders>
              <w:top w:val="nil"/>
              <w:left w:val="single" w:sz="8" w:space="0" w:color="auto"/>
              <w:bottom w:val="nil"/>
              <w:right w:val="nil"/>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w:t>
            </w:r>
          </w:p>
        </w:tc>
        <w:tc>
          <w:tcPr>
            <w:tcW w:w="2374" w:type="dxa"/>
            <w:tcBorders>
              <w:top w:val="nil"/>
              <w:left w:val="nil"/>
              <w:bottom w:val="nil"/>
              <w:right w:val="nil"/>
            </w:tcBorders>
            <w:shd w:val="clear" w:color="auto" w:fill="auto"/>
            <w:vAlign w:val="center"/>
            <w:hideMark/>
          </w:tcPr>
          <w:p w:rsidR="00F6773D" w:rsidRPr="00F6773D" w:rsidRDefault="00F6773D" w:rsidP="00F6773D">
            <w:pPr>
              <w:spacing w:before="0"/>
              <w:rPr>
                <w:rFonts w:ascii="Times New Roman" w:hAnsi="Times New Roman"/>
                <w:bCs/>
                <w:sz w:val="20"/>
                <w:szCs w:val="20"/>
              </w:rPr>
            </w:pPr>
          </w:p>
        </w:tc>
        <w:tc>
          <w:tcPr>
            <w:tcW w:w="2552" w:type="dxa"/>
            <w:tcBorders>
              <w:top w:val="nil"/>
              <w:left w:val="nil"/>
              <w:bottom w:val="nil"/>
              <w:right w:val="nil"/>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p>
        </w:tc>
        <w:tc>
          <w:tcPr>
            <w:tcW w:w="1243" w:type="dxa"/>
            <w:tcBorders>
              <w:top w:val="nil"/>
              <w:left w:val="nil"/>
              <w:bottom w:val="nil"/>
              <w:right w:val="nil"/>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p>
        </w:tc>
        <w:tc>
          <w:tcPr>
            <w:tcW w:w="1560" w:type="dxa"/>
            <w:tcBorders>
              <w:top w:val="nil"/>
              <w:left w:val="nil"/>
              <w:bottom w:val="nil"/>
              <w:right w:val="nil"/>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p>
        </w:tc>
        <w:tc>
          <w:tcPr>
            <w:tcW w:w="2017" w:type="dxa"/>
            <w:tcBorders>
              <w:top w:val="nil"/>
              <w:left w:val="nil"/>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 </w:t>
            </w:r>
          </w:p>
        </w:tc>
      </w:tr>
      <w:tr w:rsidR="00F6773D" w:rsidRPr="00F6773D" w:rsidTr="00F6773D">
        <w:trPr>
          <w:trHeight w:val="465"/>
        </w:trPr>
        <w:tc>
          <w:tcPr>
            <w:tcW w:w="10222" w:type="dxa"/>
            <w:gridSpan w:val="6"/>
            <w:tcBorders>
              <w:top w:val="nil"/>
              <w:left w:val="nil"/>
              <w:bottom w:val="nil"/>
              <w:right w:val="nil"/>
            </w:tcBorders>
            <w:shd w:val="clear" w:color="auto" w:fill="auto"/>
            <w:vAlign w:val="bottom"/>
            <w:hideMark/>
          </w:tcPr>
          <w:p w:rsidR="00F6773D" w:rsidRPr="00F6773D" w:rsidRDefault="00F6773D" w:rsidP="00F6773D">
            <w:pPr>
              <w:spacing w:before="0"/>
              <w:rPr>
                <w:rFonts w:ascii="Times New Roman" w:hAnsi="Times New Roman"/>
                <w:bCs/>
                <w:sz w:val="20"/>
                <w:szCs w:val="20"/>
              </w:rPr>
            </w:pPr>
            <w:r w:rsidRPr="00F6773D">
              <w:rPr>
                <w:rFonts w:ascii="Times New Roman" w:hAnsi="Times New Roman"/>
                <w:bCs/>
                <w:sz w:val="20"/>
                <w:szCs w:val="20"/>
              </w:rPr>
              <w:t>Иные требования</w:t>
            </w:r>
          </w:p>
        </w:tc>
      </w:tr>
      <w:tr w:rsidR="00F6773D" w:rsidRPr="00F6773D" w:rsidTr="00F6773D">
        <w:trPr>
          <w:trHeight w:val="181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7</w:t>
            </w:r>
          </w:p>
        </w:tc>
        <w:tc>
          <w:tcPr>
            <w:tcW w:w="2374"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sz w:val="20"/>
                <w:szCs w:val="20"/>
              </w:rPr>
            </w:pPr>
            <w:proofErr w:type="gramStart"/>
            <w:r w:rsidRPr="00F6773D">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2552" w:type="dxa"/>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Письмо (в свободной форме) за подписью руководителя участника закупки</w:t>
            </w:r>
          </w:p>
        </w:tc>
        <w:tc>
          <w:tcPr>
            <w:tcW w:w="1243"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Наличие/отсутствие</w:t>
            </w:r>
          </w:p>
        </w:tc>
        <w:tc>
          <w:tcPr>
            <w:tcW w:w="1560" w:type="dxa"/>
            <w:tcBorders>
              <w:top w:val="single" w:sz="8"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single" w:sz="8" w:space="0" w:color="auto"/>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F6773D" w:rsidRPr="00F6773D" w:rsidTr="00F6773D">
        <w:trPr>
          <w:trHeight w:val="181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single" w:sz="8" w:space="0" w:color="auto"/>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sz w:val="20"/>
                <w:szCs w:val="20"/>
              </w:rPr>
            </w:pPr>
          </w:p>
        </w:tc>
        <w:tc>
          <w:tcPr>
            <w:tcW w:w="2552" w:type="dxa"/>
            <w:vMerge/>
            <w:tcBorders>
              <w:top w:val="single" w:sz="8" w:space="0" w:color="auto"/>
              <w:left w:val="single" w:sz="8" w:space="0" w:color="000000"/>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single" w:sz="8" w:space="0" w:color="auto"/>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Имеются случаи судебных разбирательств, исковые требования по которым удовлетворены</w:t>
            </w:r>
          </w:p>
        </w:tc>
      </w:tr>
      <w:tr w:rsidR="00F6773D" w:rsidRPr="00F6773D" w:rsidTr="00F6773D">
        <w:trPr>
          <w:trHeight w:val="1395"/>
        </w:trPr>
        <w:tc>
          <w:tcPr>
            <w:tcW w:w="476" w:type="dxa"/>
            <w:vMerge w:val="restart"/>
            <w:tcBorders>
              <w:top w:val="nil"/>
              <w:left w:val="single" w:sz="8" w:space="0" w:color="auto"/>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8</w:t>
            </w:r>
          </w:p>
        </w:tc>
        <w:tc>
          <w:tcPr>
            <w:tcW w:w="2374" w:type="dxa"/>
            <w:vMerge w:val="restart"/>
            <w:tcBorders>
              <w:top w:val="nil"/>
              <w:left w:val="single" w:sz="8" w:space="0" w:color="auto"/>
              <w:bottom w:val="single" w:sz="8" w:space="0" w:color="000000"/>
              <w:right w:val="single" w:sz="8" w:space="0" w:color="000000"/>
            </w:tcBorders>
            <w:shd w:val="clear" w:color="auto" w:fill="auto"/>
            <w:vAlign w:val="center"/>
            <w:hideMark/>
          </w:tcPr>
          <w:p w:rsidR="00F6773D" w:rsidRPr="00F6773D" w:rsidRDefault="00F6773D" w:rsidP="00F6773D">
            <w:pPr>
              <w:spacing w:before="0"/>
              <w:rPr>
                <w:rFonts w:ascii="Times New Roman" w:hAnsi="Times New Roman"/>
                <w:bCs/>
                <w:sz w:val="20"/>
                <w:szCs w:val="20"/>
              </w:rPr>
            </w:pPr>
            <w:r w:rsidRPr="00F6773D">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2552" w:type="dxa"/>
            <w:vMerge w:val="restart"/>
            <w:tcBorders>
              <w:top w:val="nil"/>
              <w:left w:val="single" w:sz="8" w:space="0" w:color="000000"/>
              <w:bottom w:val="nil"/>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F6773D">
              <w:rPr>
                <w:rFonts w:ascii="Times New Roman" w:hAnsi="Times New Roman"/>
                <w:bCs/>
                <w:sz w:val="20"/>
                <w:szCs w:val="20"/>
              </w:rPr>
              <w:t xml:space="preserve"> ,</w:t>
            </w:r>
            <w:proofErr w:type="gramEnd"/>
            <w:r w:rsidRPr="00F6773D">
              <w:rPr>
                <w:rFonts w:ascii="Times New Roman" w:hAnsi="Times New Roman"/>
                <w:bCs/>
                <w:sz w:val="20"/>
                <w:szCs w:val="20"/>
              </w:rPr>
              <w:t xml:space="preserve"> за подписью руководителя предприятия</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Согласие/ Отсутствие  согласия</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F6773D" w:rsidRPr="00F6773D" w:rsidTr="00F6773D">
        <w:trPr>
          <w:trHeight w:val="1395"/>
        </w:trPr>
        <w:tc>
          <w:tcPr>
            <w:tcW w:w="476" w:type="dxa"/>
            <w:vMerge/>
            <w:tcBorders>
              <w:top w:val="nil"/>
              <w:left w:val="single" w:sz="8" w:space="0" w:color="auto"/>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2374" w:type="dxa"/>
            <w:vMerge/>
            <w:tcBorders>
              <w:top w:val="nil"/>
              <w:left w:val="single" w:sz="8" w:space="0" w:color="auto"/>
              <w:bottom w:val="single" w:sz="8" w:space="0" w:color="000000"/>
              <w:right w:val="single" w:sz="8" w:space="0" w:color="000000"/>
            </w:tcBorders>
            <w:vAlign w:val="center"/>
            <w:hideMark/>
          </w:tcPr>
          <w:p w:rsidR="00F6773D" w:rsidRPr="00F6773D" w:rsidRDefault="00F6773D" w:rsidP="00F6773D">
            <w:pPr>
              <w:spacing w:before="0"/>
              <w:rPr>
                <w:rFonts w:ascii="Times New Roman" w:hAnsi="Times New Roman"/>
                <w:bCs/>
                <w:sz w:val="20"/>
                <w:szCs w:val="20"/>
              </w:rPr>
            </w:pPr>
          </w:p>
        </w:tc>
        <w:tc>
          <w:tcPr>
            <w:tcW w:w="2552" w:type="dxa"/>
            <w:vMerge/>
            <w:tcBorders>
              <w:top w:val="nil"/>
              <w:left w:val="single" w:sz="8" w:space="0" w:color="000000"/>
              <w:bottom w:val="nil"/>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F6773D" w:rsidRPr="00F6773D" w:rsidTr="00F6773D">
        <w:trPr>
          <w:trHeight w:val="1395"/>
        </w:trPr>
        <w:tc>
          <w:tcPr>
            <w:tcW w:w="4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9</w:t>
            </w:r>
          </w:p>
        </w:tc>
        <w:tc>
          <w:tcPr>
            <w:tcW w:w="2374" w:type="dxa"/>
            <w:vMerge w:val="restart"/>
            <w:tcBorders>
              <w:top w:val="nil"/>
              <w:left w:val="single" w:sz="8" w:space="0" w:color="auto"/>
              <w:bottom w:val="single" w:sz="8" w:space="0" w:color="000000"/>
              <w:right w:val="nil"/>
            </w:tcBorders>
            <w:shd w:val="clear" w:color="auto" w:fill="auto"/>
            <w:vAlign w:val="center"/>
            <w:hideMark/>
          </w:tcPr>
          <w:p w:rsidR="00F6773D" w:rsidRPr="00F6773D" w:rsidRDefault="00F6773D" w:rsidP="00F6773D">
            <w:pPr>
              <w:spacing w:before="0"/>
              <w:rPr>
                <w:rFonts w:ascii="Times New Roman" w:hAnsi="Times New Roman"/>
                <w:bCs/>
                <w:color w:val="000000"/>
                <w:sz w:val="20"/>
                <w:szCs w:val="20"/>
              </w:rPr>
            </w:pPr>
            <w:r w:rsidRPr="00F6773D">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255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Письмо за подписью руководителя предприятия</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Наличие/отсутствие</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F6773D" w:rsidRPr="00F6773D" w:rsidTr="00F6773D">
        <w:trPr>
          <w:trHeight w:val="1395"/>
        </w:trPr>
        <w:tc>
          <w:tcPr>
            <w:tcW w:w="476" w:type="dxa"/>
            <w:vMerge/>
            <w:tcBorders>
              <w:top w:val="single" w:sz="8" w:space="0" w:color="auto"/>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374" w:type="dxa"/>
            <w:vMerge/>
            <w:tcBorders>
              <w:top w:val="nil"/>
              <w:left w:val="single" w:sz="8" w:space="0" w:color="auto"/>
              <w:bottom w:val="single" w:sz="8" w:space="0" w:color="000000"/>
              <w:right w:val="nil"/>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single" w:sz="8" w:space="0" w:color="auto"/>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F6773D" w:rsidRPr="00F6773D" w:rsidTr="00F6773D">
        <w:trPr>
          <w:trHeight w:val="2070"/>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11</w:t>
            </w:r>
          </w:p>
        </w:tc>
        <w:tc>
          <w:tcPr>
            <w:tcW w:w="2374"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F6773D">
              <w:rPr>
                <w:rFonts w:ascii="Times New Roman" w:hAnsi="Times New Roman"/>
                <w:bCs/>
                <w:color w:val="000000"/>
                <w:sz w:val="20"/>
                <w:szCs w:val="20"/>
              </w:rPr>
              <w:t>за</w:t>
            </w:r>
            <w:proofErr w:type="gramEnd"/>
            <w:r w:rsidRPr="00F6773D">
              <w:rPr>
                <w:rFonts w:ascii="Times New Roman" w:hAnsi="Times New Roman"/>
                <w:bCs/>
                <w:color w:val="000000"/>
                <w:sz w:val="20"/>
                <w:szCs w:val="20"/>
              </w:rPr>
              <w:t xml:space="preserve"> последние 3 года?</w:t>
            </w:r>
          </w:p>
        </w:tc>
        <w:tc>
          <w:tcPr>
            <w:tcW w:w="2552"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 xml:space="preserve"> Нет/Работы для нужд ОАО "СН-МНГ" ранее не выполнялись</w:t>
            </w:r>
            <w:proofErr w:type="gramStart"/>
            <w:r w:rsidRPr="00F6773D">
              <w:rPr>
                <w:rFonts w:ascii="Times New Roman" w:hAnsi="Times New Roman"/>
                <w:bCs/>
                <w:color w:val="000000"/>
                <w:sz w:val="20"/>
                <w:szCs w:val="20"/>
              </w:rPr>
              <w:t>/Д</w:t>
            </w:r>
            <w:proofErr w:type="gramEnd"/>
            <w:r w:rsidRPr="00F6773D">
              <w:rPr>
                <w:rFonts w:ascii="Times New Roman" w:hAnsi="Times New Roman"/>
                <w:bCs/>
                <w:color w:val="000000"/>
                <w:sz w:val="20"/>
                <w:szCs w:val="20"/>
              </w:rPr>
              <w:t>а</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 xml:space="preserve"> Нет/Работы для нужд ОАО "СН-МНГ" ранее не выполнялись</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F6773D" w:rsidRPr="00F6773D" w:rsidTr="00F6773D">
        <w:trPr>
          <w:trHeight w:val="1830"/>
        </w:trPr>
        <w:tc>
          <w:tcPr>
            <w:tcW w:w="476"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374"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F6773D" w:rsidRPr="00F6773D" w:rsidTr="00F6773D">
        <w:trPr>
          <w:trHeight w:val="1155"/>
        </w:trPr>
        <w:tc>
          <w:tcPr>
            <w:tcW w:w="476"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12</w:t>
            </w:r>
          </w:p>
        </w:tc>
        <w:tc>
          <w:tcPr>
            <w:tcW w:w="2374"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Согласие  на проведение Технического аудита Заказчиком.</w:t>
            </w:r>
          </w:p>
        </w:tc>
        <w:tc>
          <w:tcPr>
            <w:tcW w:w="2552"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Письмо за подписью руководителя предприятия</w:t>
            </w:r>
          </w:p>
        </w:tc>
        <w:tc>
          <w:tcPr>
            <w:tcW w:w="1243" w:type="dxa"/>
            <w:vMerge w:val="restart"/>
            <w:tcBorders>
              <w:top w:val="nil"/>
              <w:left w:val="single" w:sz="8" w:space="0" w:color="auto"/>
              <w:bottom w:val="single" w:sz="8" w:space="0" w:color="000000"/>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sz w:val="20"/>
                <w:szCs w:val="20"/>
              </w:rPr>
            </w:pPr>
            <w:r w:rsidRPr="00F6773D">
              <w:rPr>
                <w:rFonts w:ascii="Times New Roman" w:hAnsi="Times New Roman"/>
                <w:bCs/>
                <w:sz w:val="20"/>
                <w:szCs w:val="20"/>
              </w:rPr>
              <w:t>Согласие/ Отсутствие  согласия</w:t>
            </w: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Согласие на проведение Технического аудита Заказчиком</w:t>
            </w:r>
          </w:p>
        </w:tc>
      </w:tr>
      <w:tr w:rsidR="00F6773D" w:rsidRPr="00F6773D" w:rsidTr="00F6773D">
        <w:trPr>
          <w:trHeight w:val="1155"/>
        </w:trPr>
        <w:tc>
          <w:tcPr>
            <w:tcW w:w="476"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374"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2552"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color w:val="000000"/>
                <w:sz w:val="20"/>
                <w:szCs w:val="20"/>
              </w:rPr>
            </w:pPr>
          </w:p>
        </w:tc>
        <w:tc>
          <w:tcPr>
            <w:tcW w:w="1243" w:type="dxa"/>
            <w:vMerge/>
            <w:tcBorders>
              <w:top w:val="nil"/>
              <w:left w:val="single" w:sz="8" w:space="0" w:color="auto"/>
              <w:bottom w:val="single" w:sz="8" w:space="0" w:color="000000"/>
              <w:right w:val="single" w:sz="8" w:space="0" w:color="auto"/>
            </w:tcBorders>
            <w:vAlign w:val="center"/>
            <w:hideMark/>
          </w:tcPr>
          <w:p w:rsidR="00F6773D" w:rsidRPr="00F6773D" w:rsidRDefault="00F6773D" w:rsidP="00F6773D">
            <w:pPr>
              <w:spacing w:before="0"/>
              <w:rPr>
                <w:rFonts w:ascii="Times New Roman" w:hAnsi="Times New Roman"/>
                <w:bCs/>
                <w:sz w:val="20"/>
                <w:szCs w:val="20"/>
              </w:rPr>
            </w:pPr>
          </w:p>
        </w:tc>
        <w:tc>
          <w:tcPr>
            <w:tcW w:w="1560"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Не соответствует</w:t>
            </w:r>
          </w:p>
        </w:tc>
        <w:tc>
          <w:tcPr>
            <w:tcW w:w="2017" w:type="dxa"/>
            <w:tcBorders>
              <w:top w:val="nil"/>
              <w:left w:val="nil"/>
              <w:bottom w:val="single" w:sz="8" w:space="0" w:color="auto"/>
              <w:right w:val="single" w:sz="8" w:space="0" w:color="auto"/>
            </w:tcBorders>
            <w:shd w:val="clear" w:color="auto" w:fill="auto"/>
            <w:vAlign w:val="center"/>
            <w:hideMark/>
          </w:tcPr>
          <w:p w:rsidR="00F6773D" w:rsidRPr="00F6773D" w:rsidRDefault="00F6773D" w:rsidP="00F6773D">
            <w:pPr>
              <w:spacing w:before="0"/>
              <w:jc w:val="center"/>
              <w:rPr>
                <w:rFonts w:ascii="Times New Roman" w:hAnsi="Times New Roman"/>
                <w:bCs/>
                <w:color w:val="000000"/>
                <w:sz w:val="20"/>
                <w:szCs w:val="20"/>
              </w:rPr>
            </w:pPr>
            <w:r w:rsidRPr="00F6773D">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6228" w:rsidRDefault="00FB6228">
      <w:pPr>
        <w:spacing w:before="0"/>
      </w:pPr>
      <w:r>
        <w:separator/>
      </w:r>
    </w:p>
  </w:endnote>
  <w:endnote w:type="continuationSeparator" w:id="0">
    <w:p w:rsidR="00FB6228" w:rsidRDefault="00FB622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6228" w:rsidRDefault="00FB6228">
      <w:pPr>
        <w:spacing w:before="0"/>
      </w:pPr>
      <w:r>
        <w:separator/>
      </w:r>
    </w:p>
  </w:footnote>
  <w:footnote w:type="continuationSeparator" w:id="0">
    <w:p w:rsidR="00FB6228" w:rsidRDefault="00FB6228">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2B83"/>
    <w:rsid w:val="00365D5A"/>
    <w:rsid w:val="003661E5"/>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612C7"/>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33BC8"/>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371B5"/>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4676"/>
    <w:rsid w:val="00C577EB"/>
    <w:rsid w:val="00C64FBD"/>
    <w:rsid w:val="00C85F87"/>
    <w:rsid w:val="00C93FB2"/>
    <w:rsid w:val="00CA2743"/>
    <w:rsid w:val="00CA2762"/>
    <w:rsid w:val="00CB5121"/>
    <w:rsid w:val="00CB541E"/>
    <w:rsid w:val="00CB6DD1"/>
    <w:rsid w:val="00CD1E8F"/>
    <w:rsid w:val="00CE0497"/>
    <w:rsid w:val="00CE2547"/>
    <w:rsid w:val="00CE4EDC"/>
    <w:rsid w:val="00CE72A0"/>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290"/>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425F"/>
    <w:rsid w:val="00FB6228"/>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81468E-9DD9-4F6E-91E4-DE1C69F33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2114</TotalTime>
  <Pages>14</Pages>
  <Words>4516</Words>
  <Characters>25743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264</cp:revision>
  <cp:lastPrinted>2015-11-16T09:09:00Z</cp:lastPrinted>
  <dcterms:created xsi:type="dcterms:W3CDTF">2014-07-17T07:15:00Z</dcterms:created>
  <dcterms:modified xsi:type="dcterms:W3CDTF">2015-12-03T14:14:00Z</dcterms:modified>
</cp:coreProperties>
</file>