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4D023D">
            <w:pPr>
              <w:spacing w:before="0"/>
              <w:jc w:val="right"/>
              <w:rPr>
                <w:rFonts w:ascii="Times New Roman" w:hAnsi="Times New Roman"/>
                <w:sz w:val="24"/>
              </w:rPr>
            </w:pPr>
            <w:r w:rsidRPr="000127F9">
              <w:rPr>
                <w:rFonts w:ascii="Times New Roman" w:hAnsi="Times New Roman"/>
                <w:sz w:val="24"/>
              </w:rPr>
              <w:t>Протокол  № ___</w:t>
            </w:r>
            <w:r w:rsidR="004D023D">
              <w:rPr>
                <w:rFonts w:ascii="Times New Roman" w:hAnsi="Times New Roman"/>
                <w:sz w:val="24"/>
              </w:rPr>
              <w:t>621</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4D023D">
            <w:pPr>
              <w:spacing w:before="0"/>
              <w:jc w:val="right"/>
              <w:rPr>
                <w:rFonts w:ascii="Times New Roman" w:hAnsi="Times New Roman"/>
                <w:sz w:val="24"/>
              </w:rPr>
            </w:pPr>
            <w:r w:rsidRPr="000127F9">
              <w:rPr>
                <w:rFonts w:ascii="Times New Roman" w:hAnsi="Times New Roman"/>
                <w:sz w:val="24"/>
              </w:rPr>
              <w:t>«</w:t>
            </w:r>
            <w:r w:rsidR="004D023D">
              <w:rPr>
                <w:rFonts w:ascii="Times New Roman" w:hAnsi="Times New Roman"/>
                <w:sz w:val="24"/>
              </w:rPr>
              <w:t>04</w:t>
            </w:r>
            <w:r w:rsidRPr="000127F9">
              <w:rPr>
                <w:rFonts w:ascii="Times New Roman" w:hAnsi="Times New Roman"/>
                <w:sz w:val="24"/>
              </w:rPr>
              <w:t>__» __</w:t>
            </w:r>
            <w:r w:rsidR="004D023D">
              <w:rPr>
                <w:rFonts w:ascii="Times New Roman" w:hAnsi="Times New Roman"/>
                <w:sz w:val="24"/>
              </w:rPr>
              <w:t>12</w:t>
            </w:r>
            <w:r w:rsidRPr="000127F9">
              <w:rPr>
                <w:rFonts w:ascii="Times New Roman" w:hAnsi="Times New Roman"/>
                <w:sz w:val="24"/>
              </w:rPr>
              <w:t>_______  _</w:t>
            </w:r>
            <w:r w:rsidR="004D023D">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37192">
        <w:rPr>
          <w:rFonts w:ascii="Times New Roman" w:hAnsi="Times New Roman"/>
          <w:b/>
          <w:color w:val="2000E2"/>
          <w:sz w:val="24"/>
        </w:rPr>
        <w:t>866</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4D023D">
        <w:rPr>
          <w:rFonts w:ascii="Times New Roman" w:hAnsi="Times New Roman"/>
          <w:b/>
          <w:color w:val="2000E2"/>
          <w:sz w:val="24"/>
        </w:rPr>
        <w:t>04</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w:t>
      </w:r>
      <w:r w:rsidR="004D023D">
        <w:rPr>
          <w:rFonts w:ascii="Times New Roman" w:hAnsi="Times New Roman"/>
          <w:b/>
          <w:color w:val="2000E2"/>
          <w:sz w:val="24"/>
        </w:rPr>
        <w:t>12</w:t>
      </w:r>
      <w:r w:rsidR="00341539" w:rsidRPr="00710444">
        <w:rPr>
          <w:rFonts w:ascii="Times New Roman" w:hAnsi="Times New Roman"/>
          <w:b/>
          <w:color w:val="2000E2"/>
          <w:sz w:val="24"/>
        </w:rPr>
        <w:t>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37192">
        <w:rPr>
          <w:rFonts w:ascii="Times New Roman" w:hAnsi="Times New Roman"/>
          <w:b/>
          <w:color w:val="2000E2"/>
          <w:sz w:val="24"/>
        </w:rPr>
        <w:t>866</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4D023D">
        <w:rPr>
          <w:rFonts w:ascii="Times New Roman" w:hAnsi="Times New Roman"/>
          <w:b/>
          <w:color w:val="2000E2"/>
          <w:sz w:val="24"/>
        </w:rPr>
        <w:t>04</w:t>
      </w:r>
      <w:r w:rsidRPr="00710444">
        <w:rPr>
          <w:rFonts w:ascii="Times New Roman" w:hAnsi="Times New Roman"/>
          <w:b/>
          <w:color w:val="2000E2"/>
          <w:sz w:val="24"/>
        </w:rPr>
        <w:t xml:space="preserve">  » ___</w:t>
      </w:r>
      <w:r w:rsidR="004D023D">
        <w:rPr>
          <w:rFonts w:ascii="Times New Roman" w:hAnsi="Times New Roman"/>
          <w:b/>
          <w:color w:val="2000E2"/>
          <w:sz w:val="24"/>
        </w:rPr>
        <w:t>12</w:t>
      </w:r>
      <w:r w:rsidRPr="00710444">
        <w:rPr>
          <w:rFonts w:ascii="Times New Roman" w:hAnsi="Times New Roman"/>
          <w:b/>
          <w:color w:val="2000E2"/>
          <w:sz w:val="24"/>
        </w:rPr>
        <w:t>_________2015г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4D023D">
        <w:rPr>
          <w:rFonts w:ascii="Times New Roman" w:hAnsi="Times New Roman"/>
          <w:sz w:val="24"/>
        </w:rPr>
        <w:t>04</w:t>
      </w:r>
      <w:r w:rsidRPr="00B54E0C">
        <w:rPr>
          <w:rFonts w:ascii="Times New Roman" w:hAnsi="Times New Roman"/>
          <w:sz w:val="24"/>
        </w:rPr>
        <w:t xml:space="preserve">  » </w:t>
      </w:r>
      <w:r w:rsidRPr="00B54E0C">
        <w:rPr>
          <w:rFonts w:ascii="Times New Roman" w:hAnsi="Times New Roman"/>
          <w:sz w:val="24"/>
          <w:u w:val="single"/>
        </w:rPr>
        <w:t xml:space="preserve">        </w:t>
      </w:r>
      <w:r w:rsidR="004D023D">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4D023D">
        <w:rPr>
          <w:rFonts w:ascii="Times New Roman" w:hAnsi="Times New Roman"/>
          <w:sz w:val="24"/>
        </w:rPr>
        <w:t>17</w:t>
      </w:r>
      <w:r w:rsidRPr="00B54E0C">
        <w:rPr>
          <w:rFonts w:ascii="Times New Roman" w:hAnsi="Times New Roman"/>
          <w:sz w:val="24"/>
        </w:rPr>
        <w:t xml:space="preserve">  » </w:t>
      </w:r>
      <w:r w:rsidRPr="00B54E0C">
        <w:rPr>
          <w:rFonts w:ascii="Times New Roman" w:hAnsi="Times New Roman"/>
          <w:sz w:val="24"/>
          <w:u w:val="single"/>
        </w:rPr>
        <w:t xml:space="preserve">      </w:t>
      </w:r>
      <w:r w:rsidR="004D023D">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337192">
        <w:rPr>
          <w:rFonts w:ascii="Times New Roman" w:hAnsi="Times New Roman"/>
          <w:b/>
          <w:color w:val="2000E2"/>
          <w:sz w:val="24"/>
        </w:rPr>
        <w:t>866</w:t>
      </w:r>
      <w:r w:rsidR="00730DAA">
        <w:rPr>
          <w:rFonts w:ascii="Times New Roman" w:hAnsi="Times New Roman"/>
          <w:b/>
          <w:color w:val="2000E2"/>
          <w:sz w:val="24"/>
        </w:rPr>
        <w:t>/ТК/2015</w:t>
      </w:r>
      <w:r w:rsidR="00F02084" w:rsidRPr="00710444">
        <w:rPr>
          <w:rFonts w:ascii="Times New Roman" w:hAnsi="Times New Roman"/>
          <w:b/>
          <w:color w:val="2000E2"/>
          <w:sz w:val="24"/>
        </w:rPr>
        <w:t>г. от «__</w:t>
      </w:r>
      <w:r w:rsidR="00DF6076">
        <w:rPr>
          <w:rFonts w:ascii="Times New Roman" w:hAnsi="Times New Roman"/>
          <w:b/>
          <w:color w:val="2000E2"/>
          <w:sz w:val="24"/>
        </w:rPr>
        <w:t>04</w:t>
      </w:r>
      <w:r w:rsidR="00F02084" w:rsidRPr="00710444">
        <w:rPr>
          <w:rFonts w:ascii="Times New Roman" w:hAnsi="Times New Roman"/>
          <w:b/>
          <w:color w:val="2000E2"/>
          <w:sz w:val="24"/>
        </w:rPr>
        <w:t>_»___</w:t>
      </w:r>
      <w:r w:rsidR="00DF6076">
        <w:rPr>
          <w:rFonts w:ascii="Times New Roman" w:hAnsi="Times New Roman"/>
          <w:b/>
          <w:color w:val="2000E2"/>
          <w:sz w:val="24"/>
        </w:rPr>
        <w:t>12</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337192" w:rsidRPr="00337192">
        <w:rPr>
          <w:rFonts w:ascii="Times New Roman" w:hAnsi="Times New Roman"/>
          <w:color w:val="2000E2"/>
          <w:sz w:val="24"/>
        </w:rPr>
        <w:t xml:space="preserve">Обустройство </w:t>
      </w:r>
      <w:proofErr w:type="spellStart"/>
      <w:r w:rsidR="00337192" w:rsidRPr="00337192">
        <w:rPr>
          <w:rFonts w:ascii="Times New Roman" w:hAnsi="Times New Roman"/>
          <w:color w:val="2000E2"/>
          <w:sz w:val="24"/>
        </w:rPr>
        <w:t>ЗападноУсть-Балыкского</w:t>
      </w:r>
      <w:proofErr w:type="spellEnd"/>
      <w:r w:rsidR="00337192" w:rsidRPr="00337192">
        <w:rPr>
          <w:rFonts w:ascii="Times New Roman" w:hAnsi="Times New Roman"/>
          <w:color w:val="2000E2"/>
          <w:sz w:val="24"/>
        </w:rPr>
        <w:t xml:space="preserve"> месторождения нефти. Высоконапорный водовод к.1 - скв.1194Р. Высоконапорный водовод к.5-скв.2002П</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337192">
              <w:rPr>
                <w:rFonts w:ascii="Times New Roman" w:hAnsi="Times New Roman"/>
                <w:color w:val="2000E2"/>
                <w:sz w:val="24"/>
                <w:szCs w:val="24"/>
              </w:rPr>
              <w:t>1303.4.769</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896683">
              <w:rPr>
                <w:rFonts w:ascii="Times New Roman" w:hAnsi="Times New Roman"/>
                <w:color w:val="2000E2"/>
                <w:sz w:val="24"/>
              </w:rPr>
              <w:t>21</w:t>
            </w:r>
            <w:r w:rsidR="00730DAA" w:rsidRPr="00730DAA">
              <w:rPr>
                <w:rFonts w:ascii="Times New Roman" w:hAnsi="Times New Roman"/>
                <w:color w:val="2000E2"/>
                <w:sz w:val="24"/>
              </w:rPr>
              <w:t>.0</w:t>
            </w:r>
            <w:r w:rsidR="00896683">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337192">
              <w:rPr>
                <w:rFonts w:ascii="Times New Roman" w:hAnsi="Times New Roman"/>
                <w:color w:val="2000E2"/>
                <w:sz w:val="24"/>
              </w:rPr>
              <w:t>0</w:t>
            </w:r>
            <w:r w:rsidR="00F6773D">
              <w:rPr>
                <w:rFonts w:ascii="Times New Roman" w:hAnsi="Times New Roman"/>
                <w:color w:val="2000E2"/>
                <w:sz w:val="24"/>
              </w:rPr>
              <w:t>.0</w:t>
            </w:r>
            <w:r w:rsidR="00337192">
              <w:rPr>
                <w:rFonts w:ascii="Times New Roman" w:hAnsi="Times New Roman"/>
                <w:color w:val="2000E2"/>
                <w:sz w:val="24"/>
              </w:rPr>
              <w:t>6</w:t>
            </w:r>
            <w:r w:rsidR="00730DAA" w:rsidRPr="00730DAA">
              <w:rPr>
                <w:rFonts w:ascii="Times New Roman" w:hAnsi="Times New Roman"/>
                <w:color w:val="2000E2"/>
                <w:sz w:val="24"/>
              </w:rPr>
              <w:t>.201</w:t>
            </w:r>
            <w:r w:rsidR="00896683">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A63994"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Pr="000127F9" w:rsidRDefault="004119ED" w:rsidP="00896683">
            <w:pPr>
              <w:pStyle w:val="ae"/>
              <w:rPr>
                <w:rFonts w:ascii="Times New Roman" w:hAnsi="Times New Roman"/>
                <w:sz w:val="24"/>
                <w:szCs w:val="24"/>
              </w:rPr>
            </w:pPr>
            <w:r>
              <w:rPr>
                <w:rFonts w:ascii="Times New Roman" w:hAnsi="Times New Roman"/>
                <w:sz w:val="24"/>
                <w:szCs w:val="24"/>
              </w:rPr>
              <w:t>Распределение суммы предложения на 2016-2017 гг. (без учета НДС)</w:t>
            </w:r>
          </w:p>
        </w:tc>
        <w:tc>
          <w:tcPr>
            <w:tcW w:w="3627" w:type="dxa"/>
            <w:tcBorders>
              <w:top w:val="single" w:sz="4" w:space="0" w:color="auto"/>
              <w:left w:val="single" w:sz="4" w:space="0" w:color="auto"/>
              <w:bottom w:val="single" w:sz="4" w:space="0" w:color="auto"/>
              <w:right w:val="single" w:sz="4" w:space="0" w:color="auto"/>
            </w:tcBorders>
          </w:tcPr>
          <w:p w:rsidR="00A63994" w:rsidRDefault="00A63994" w:rsidP="00896683">
            <w:pPr>
              <w:pStyle w:val="ae"/>
              <w:rPr>
                <w:rFonts w:ascii="Times New Roman" w:hAnsi="Times New Roman"/>
                <w:sz w:val="24"/>
                <w:szCs w:val="24"/>
              </w:rPr>
            </w:pPr>
            <w:r>
              <w:rPr>
                <w:rFonts w:ascii="Times New Roman" w:hAnsi="Times New Roman"/>
                <w:sz w:val="24"/>
                <w:szCs w:val="24"/>
              </w:rPr>
              <w:t xml:space="preserve">2016г. – </w:t>
            </w:r>
          </w:p>
          <w:p w:rsidR="00A63994" w:rsidRPr="000127F9" w:rsidRDefault="00A63994" w:rsidP="00896683">
            <w:pPr>
              <w:pStyle w:val="ae"/>
              <w:rPr>
                <w:rFonts w:ascii="Times New Roman" w:hAnsi="Times New Roman"/>
                <w:sz w:val="24"/>
                <w:szCs w:val="24"/>
              </w:rPr>
            </w:pPr>
            <w:r>
              <w:rPr>
                <w:rFonts w:ascii="Times New Roman" w:hAnsi="Times New Roman"/>
                <w:sz w:val="24"/>
                <w:szCs w:val="24"/>
              </w:rPr>
              <w:t xml:space="preserve">2017г. - </w:t>
            </w: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lastRenderedPageBreak/>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37192">
        <w:rPr>
          <w:rFonts w:ascii="Times New Roman" w:hAnsi="Times New Roman"/>
          <w:color w:val="2000E2"/>
          <w:sz w:val="24"/>
        </w:rPr>
        <w:t>1303.4.769</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30DAA" w:rsidRPr="00710444">
        <w:rPr>
          <w:rFonts w:ascii="Times New Roman" w:hAnsi="Times New Roman"/>
          <w:color w:val="2000E2"/>
          <w:sz w:val="24"/>
        </w:rPr>
        <w:t xml:space="preserve">с </w:t>
      </w:r>
      <w:r w:rsidR="00A63994">
        <w:rPr>
          <w:rFonts w:ascii="Times New Roman" w:hAnsi="Times New Roman"/>
          <w:color w:val="2000E2"/>
          <w:sz w:val="24"/>
        </w:rPr>
        <w:t>21</w:t>
      </w:r>
      <w:r w:rsidR="00730DAA" w:rsidRPr="00730DAA">
        <w:rPr>
          <w:rFonts w:ascii="Times New Roman" w:hAnsi="Times New Roman"/>
          <w:color w:val="2000E2"/>
          <w:sz w:val="24"/>
        </w:rPr>
        <w:t>.0</w:t>
      </w:r>
      <w:r w:rsidR="00A63994">
        <w:rPr>
          <w:rFonts w:ascii="Times New Roman" w:hAnsi="Times New Roman"/>
          <w:color w:val="2000E2"/>
          <w:sz w:val="24"/>
        </w:rPr>
        <w:t>3</w:t>
      </w:r>
      <w:r w:rsidR="00730DAA" w:rsidRPr="00730DAA">
        <w:rPr>
          <w:rFonts w:ascii="Times New Roman" w:hAnsi="Times New Roman"/>
          <w:color w:val="2000E2"/>
          <w:sz w:val="24"/>
        </w:rPr>
        <w:t>.2016</w:t>
      </w:r>
      <w:r w:rsidR="00730DAA">
        <w:rPr>
          <w:rFonts w:ascii="Times New Roman" w:hAnsi="Times New Roman"/>
          <w:color w:val="2000E2"/>
          <w:sz w:val="24"/>
        </w:rPr>
        <w:t>г.</w:t>
      </w:r>
      <w:r w:rsidR="00730DAA" w:rsidRPr="00710444">
        <w:rPr>
          <w:rFonts w:ascii="Times New Roman" w:hAnsi="Times New Roman"/>
          <w:color w:val="2000E2"/>
          <w:sz w:val="24"/>
        </w:rPr>
        <w:t xml:space="preserve"> по </w:t>
      </w:r>
      <w:r w:rsidR="003941CA">
        <w:rPr>
          <w:rFonts w:ascii="Times New Roman" w:hAnsi="Times New Roman"/>
          <w:color w:val="2000E2"/>
          <w:sz w:val="24"/>
        </w:rPr>
        <w:t>3</w:t>
      </w:r>
      <w:r w:rsidR="00337192">
        <w:rPr>
          <w:rFonts w:ascii="Times New Roman" w:hAnsi="Times New Roman"/>
          <w:color w:val="2000E2"/>
          <w:sz w:val="24"/>
        </w:rPr>
        <w:t>0</w:t>
      </w:r>
      <w:r w:rsidR="00730DAA" w:rsidRPr="00730DAA">
        <w:rPr>
          <w:rFonts w:ascii="Times New Roman" w:hAnsi="Times New Roman"/>
          <w:color w:val="2000E2"/>
          <w:sz w:val="24"/>
        </w:rPr>
        <w:t>.</w:t>
      </w:r>
      <w:r w:rsidR="00A63994">
        <w:rPr>
          <w:rFonts w:ascii="Times New Roman" w:hAnsi="Times New Roman"/>
          <w:color w:val="2000E2"/>
          <w:sz w:val="24"/>
        </w:rPr>
        <w:t>0</w:t>
      </w:r>
      <w:r w:rsidR="00337192">
        <w:rPr>
          <w:rFonts w:ascii="Times New Roman" w:hAnsi="Times New Roman"/>
          <w:color w:val="2000E2"/>
          <w:sz w:val="24"/>
        </w:rPr>
        <w:t>6</w:t>
      </w:r>
      <w:r w:rsidR="00730DAA" w:rsidRPr="00730DAA">
        <w:rPr>
          <w:rFonts w:ascii="Times New Roman" w:hAnsi="Times New Roman"/>
          <w:color w:val="2000E2"/>
          <w:sz w:val="24"/>
        </w:rPr>
        <w:t>.201</w:t>
      </w:r>
      <w:r w:rsidR="00A63994">
        <w:rPr>
          <w:rFonts w:ascii="Times New Roman" w:hAnsi="Times New Roman"/>
          <w:color w:val="2000E2"/>
          <w:sz w:val="24"/>
        </w:rPr>
        <w:t>7</w:t>
      </w:r>
      <w:r w:rsidR="00730DAA">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37192">
        <w:rPr>
          <w:rFonts w:ascii="Times New Roman" w:hAnsi="Times New Roman"/>
          <w:color w:val="2000E2"/>
          <w:sz w:val="24"/>
        </w:rPr>
        <w:t>1303.4.769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37192">
        <w:rPr>
          <w:rFonts w:ascii="Times New Roman" w:hAnsi="Times New Roman"/>
          <w:color w:val="2000E2"/>
          <w:sz w:val="24"/>
        </w:rPr>
        <w:t>1303.4.769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22"/>
        <w:gridCol w:w="2889"/>
        <w:gridCol w:w="1816"/>
        <w:gridCol w:w="1177"/>
        <w:gridCol w:w="1267"/>
        <w:gridCol w:w="2369"/>
      </w:tblGrid>
      <w:tr w:rsidR="00337192" w:rsidRPr="00337192" w:rsidTr="00337192">
        <w:trPr>
          <w:trHeight w:val="499"/>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 </w:t>
            </w:r>
            <w:proofErr w:type="gramStart"/>
            <w:r w:rsidRPr="00337192">
              <w:rPr>
                <w:rFonts w:ascii="Times New Roman" w:eastAsiaTheme="minorHAnsi" w:hAnsi="Times New Roman"/>
                <w:bCs/>
                <w:color w:val="000000"/>
                <w:sz w:val="20"/>
                <w:szCs w:val="20"/>
                <w:lang w:eastAsia="en-US"/>
              </w:rPr>
              <w:t>п</w:t>
            </w:r>
            <w:proofErr w:type="gramEnd"/>
            <w:r w:rsidRPr="00337192">
              <w:rPr>
                <w:rFonts w:ascii="Times New Roman" w:eastAsiaTheme="minorHAnsi" w:hAnsi="Times New Roman"/>
                <w:bCs/>
                <w:color w:val="000000"/>
                <w:sz w:val="20"/>
                <w:szCs w:val="20"/>
                <w:lang w:eastAsia="en-US"/>
              </w:rPr>
              <w:t>/п</w:t>
            </w:r>
          </w:p>
        </w:tc>
        <w:tc>
          <w:tcPr>
            <w:tcW w:w="1467"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Требование </w:t>
            </w:r>
          </w:p>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(параметр оценки)</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Документы, подтверждающие соответствия требованию</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Единица измерения</w:t>
            </w:r>
          </w:p>
        </w:tc>
        <w:tc>
          <w:tcPr>
            <w:tcW w:w="1848" w:type="pct"/>
            <w:gridSpan w:val="2"/>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Условия соответствия</w:t>
            </w:r>
          </w:p>
        </w:tc>
      </w:tr>
      <w:tr w:rsidR="00337192" w:rsidRPr="00337192" w:rsidTr="00337192">
        <w:trPr>
          <w:trHeight w:val="238"/>
        </w:trPr>
        <w:tc>
          <w:tcPr>
            <w:tcW w:w="2553" w:type="pct"/>
            <w:gridSpan w:val="3"/>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Требование о наличии допусков к выполнению работ, оказывающих влияние на безопасность объектов КС</w:t>
            </w:r>
          </w:p>
        </w:tc>
        <w:tc>
          <w:tcPr>
            <w:tcW w:w="598"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1205"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r>
      <w:tr w:rsidR="00337192" w:rsidRPr="00337192" w:rsidTr="00337192">
        <w:trPr>
          <w:trHeight w:val="797"/>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1</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roofErr w:type="gramStart"/>
            <w:r w:rsidRPr="00337192">
              <w:rPr>
                <w:rFonts w:ascii="Times New Roman" w:eastAsiaTheme="minorHAnsi" w:hAnsi="Times New Roman"/>
                <w:bCs/>
                <w:color w:val="000000"/>
                <w:sz w:val="20"/>
                <w:szCs w:val="20"/>
                <w:lang w:eastAsia="en-US"/>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Копия действующего свидетельства СРО.  Иные разрешительные документы (при необходимости)</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Наличие/отсутствие</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 свидетельства СРО. Наличие иных разрешительных документов (при необходимости).</w:t>
            </w:r>
          </w:p>
        </w:tc>
      </w:tr>
      <w:tr w:rsidR="00337192" w:rsidRPr="00337192" w:rsidTr="00337192">
        <w:trPr>
          <w:trHeight w:val="797"/>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Отсутствие свидетельства СРО и/или иных разрешительных документов (при необходимости).</w:t>
            </w:r>
          </w:p>
        </w:tc>
      </w:tr>
      <w:tr w:rsidR="00337192" w:rsidRPr="00337192" w:rsidTr="00337192">
        <w:trPr>
          <w:trHeight w:val="336"/>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2</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Наличие сертифицированной  </w:t>
            </w:r>
            <w:r w:rsidRPr="00337192">
              <w:rPr>
                <w:rFonts w:ascii="Times New Roman" w:eastAsiaTheme="minorHAnsi" w:hAnsi="Times New Roman"/>
                <w:bCs/>
                <w:color w:val="000000"/>
                <w:sz w:val="20"/>
                <w:szCs w:val="20"/>
                <w:lang w:eastAsia="en-US"/>
              </w:rPr>
              <w:lastRenderedPageBreak/>
              <w:t>системы менеджмента качества  требование о сертификате СМК ISO 9001</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lastRenderedPageBreak/>
              <w:t xml:space="preserve">Копия сертификата </w:t>
            </w:r>
            <w:r w:rsidRPr="00337192">
              <w:rPr>
                <w:rFonts w:ascii="Times New Roman" w:eastAsiaTheme="minorHAnsi" w:hAnsi="Times New Roman"/>
                <w:bCs/>
                <w:color w:val="000000"/>
                <w:sz w:val="20"/>
                <w:szCs w:val="20"/>
                <w:lang w:eastAsia="en-US"/>
              </w:rPr>
              <w:lastRenderedPageBreak/>
              <w:t>СМК ISO 9001-2011</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lastRenderedPageBreak/>
              <w:t>Наличие/отс</w:t>
            </w:r>
            <w:r w:rsidRPr="00337192">
              <w:rPr>
                <w:rFonts w:ascii="Times New Roman" w:eastAsiaTheme="minorHAnsi" w:hAnsi="Times New Roman"/>
                <w:bCs/>
                <w:color w:val="000000"/>
                <w:sz w:val="20"/>
                <w:szCs w:val="20"/>
                <w:lang w:eastAsia="en-US"/>
              </w:rPr>
              <w:lastRenderedPageBreak/>
              <w:t>утствие</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lastRenderedPageBreak/>
              <w:t>Соответствуе</w:t>
            </w:r>
            <w:r w:rsidRPr="00337192">
              <w:rPr>
                <w:rFonts w:ascii="Times New Roman" w:eastAsiaTheme="minorHAnsi" w:hAnsi="Times New Roman"/>
                <w:bCs/>
                <w:color w:val="000000"/>
                <w:sz w:val="20"/>
                <w:szCs w:val="20"/>
                <w:lang w:eastAsia="en-US"/>
              </w:rPr>
              <w:lastRenderedPageBreak/>
              <w:t>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lastRenderedPageBreak/>
              <w:t xml:space="preserve">Наличие  сертификата </w:t>
            </w:r>
            <w:r w:rsidRPr="00337192">
              <w:rPr>
                <w:rFonts w:ascii="Times New Roman" w:eastAsiaTheme="minorHAnsi" w:hAnsi="Times New Roman"/>
                <w:bCs/>
                <w:color w:val="000000"/>
                <w:sz w:val="20"/>
                <w:szCs w:val="20"/>
                <w:lang w:eastAsia="en-US"/>
              </w:rPr>
              <w:lastRenderedPageBreak/>
              <w:t>СМК ISO 9001-2011.</w:t>
            </w:r>
          </w:p>
        </w:tc>
      </w:tr>
      <w:tr w:rsidR="00337192" w:rsidRPr="00337192" w:rsidTr="00337192">
        <w:trPr>
          <w:trHeight w:val="336"/>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Отсутствие сертификата СМК ISO 9001-2011.</w:t>
            </w:r>
          </w:p>
        </w:tc>
      </w:tr>
      <w:tr w:rsidR="00337192" w:rsidRPr="00337192" w:rsidTr="00337192">
        <w:trPr>
          <w:trHeight w:val="223"/>
        </w:trPr>
        <w:tc>
          <w:tcPr>
            <w:tcW w:w="1631" w:type="pct"/>
            <w:gridSpan w:val="2"/>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Требования к опыту</w:t>
            </w:r>
          </w:p>
        </w:tc>
        <w:tc>
          <w:tcPr>
            <w:tcW w:w="923"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1205"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r>
      <w:tr w:rsidR="00337192" w:rsidRPr="00337192" w:rsidTr="00337192">
        <w:trPr>
          <w:trHeight w:val="624"/>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3</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 опыта работы проектной организации в качестве ген. проектировщика по выполнению собственными силами проектных работ по объектам по объектам строительства</w:t>
            </w:r>
            <w:proofErr w:type="gramStart"/>
            <w:r w:rsidRPr="00337192">
              <w:rPr>
                <w:rFonts w:ascii="Times New Roman" w:eastAsiaTheme="minorHAnsi" w:hAnsi="Times New Roman"/>
                <w:bCs/>
                <w:color w:val="000000"/>
                <w:sz w:val="20"/>
                <w:szCs w:val="20"/>
                <w:lang w:eastAsia="en-US"/>
              </w:rPr>
              <w:t>.</w:t>
            </w:r>
            <w:proofErr w:type="gramEnd"/>
            <w:r w:rsidRPr="00337192">
              <w:rPr>
                <w:rFonts w:ascii="Times New Roman" w:eastAsiaTheme="minorHAnsi" w:hAnsi="Times New Roman"/>
                <w:bCs/>
                <w:color w:val="000000"/>
                <w:sz w:val="20"/>
                <w:szCs w:val="20"/>
                <w:lang w:eastAsia="en-US"/>
              </w:rPr>
              <w:t xml:space="preserve"> </w:t>
            </w:r>
            <w:proofErr w:type="gramStart"/>
            <w:r w:rsidRPr="00337192">
              <w:rPr>
                <w:rFonts w:ascii="Times New Roman" w:eastAsiaTheme="minorHAnsi" w:hAnsi="Times New Roman"/>
                <w:bCs/>
                <w:color w:val="000000"/>
                <w:sz w:val="20"/>
                <w:szCs w:val="20"/>
                <w:lang w:eastAsia="en-US"/>
              </w:rPr>
              <w:t>р</w:t>
            </w:r>
            <w:proofErr w:type="gramEnd"/>
            <w:r w:rsidRPr="00337192">
              <w:rPr>
                <w:rFonts w:ascii="Times New Roman" w:eastAsiaTheme="minorHAnsi" w:hAnsi="Times New Roman"/>
                <w:bCs/>
                <w:color w:val="000000"/>
                <w:sz w:val="20"/>
                <w:szCs w:val="20"/>
                <w:lang w:eastAsia="en-US"/>
              </w:rPr>
              <w:t>еконструкции трубопроводов, не менее 10 объектов за последние 3 года, подтвержденных положительным заключением ГГЭ.</w:t>
            </w:r>
          </w:p>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roofErr w:type="gramStart"/>
            <w:r w:rsidRPr="00337192">
              <w:rPr>
                <w:rFonts w:ascii="Times New Roman" w:eastAsiaTheme="minorHAnsi" w:hAnsi="Times New Roman"/>
                <w:bCs/>
                <w:color w:val="000000"/>
                <w:sz w:val="20"/>
                <w:szCs w:val="20"/>
                <w:lang w:eastAsia="en-US"/>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Количество проектов по строительству, реконструкции трубопроводов шт.</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 опыта проектирования объектов в необходимом кол-ве за установленный период времени подтверждённого положительными заключениям ГГЭ.</w:t>
            </w:r>
          </w:p>
        </w:tc>
      </w:tr>
      <w:tr w:rsidR="00337192" w:rsidRPr="00337192" w:rsidTr="00337192">
        <w:trPr>
          <w:trHeight w:val="900"/>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337192">
              <w:rPr>
                <w:rFonts w:ascii="Times New Roman" w:eastAsiaTheme="minorHAnsi" w:hAnsi="Times New Roman"/>
                <w:bCs/>
                <w:color w:val="000000"/>
                <w:sz w:val="20"/>
                <w:szCs w:val="20"/>
                <w:lang w:eastAsia="en-US"/>
              </w:rPr>
              <w:t>Главгосэкспертизы</w:t>
            </w:r>
            <w:proofErr w:type="spellEnd"/>
            <w:r w:rsidRPr="00337192">
              <w:rPr>
                <w:rFonts w:ascii="Times New Roman" w:eastAsiaTheme="minorHAnsi" w:hAnsi="Times New Roman"/>
                <w:bCs/>
                <w:color w:val="000000"/>
                <w:sz w:val="20"/>
                <w:szCs w:val="20"/>
                <w:lang w:eastAsia="en-US"/>
              </w:rPr>
              <w:t xml:space="preserve"> России.</w:t>
            </w:r>
          </w:p>
        </w:tc>
      </w:tr>
      <w:tr w:rsidR="00337192" w:rsidRPr="00337192" w:rsidTr="00337192">
        <w:trPr>
          <w:trHeight w:val="742"/>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4</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337192">
              <w:rPr>
                <w:rFonts w:ascii="Times New Roman" w:eastAsiaTheme="minorHAnsi" w:hAnsi="Times New Roman"/>
                <w:bCs/>
                <w:color w:val="000000"/>
                <w:sz w:val="20"/>
                <w:szCs w:val="20"/>
                <w:lang w:eastAsia="en-US"/>
              </w:rPr>
              <w:t>документацию</w:t>
            </w:r>
            <w:proofErr w:type="gramEnd"/>
            <w:r w:rsidRPr="00337192">
              <w:rPr>
                <w:rFonts w:ascii="Times New Roman" w:eastAsiaTheme="minorHAnsi" w:hAnsi="Times New Roman"/>
                <w:bCs/>
                <w:color w:val="000000"/>
                <w:sz w:val="20"/>
                <w:szCs w:val="20"/>
                <w:lang w:eastAsia="en-US"/>
              </w:rPr>
              <w:t xml:space="preserve"> выполненную по договору.</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Количество лет</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Наличие опыта работы в нефтедобывающей промышленности   </w:t>
            </w:r>
            <w:proofErr w:type="spellStart"/>
            <w:proofErr w:type="gramStart"/>
            <w:r w:rsidRPr="00337192">
              <w:rPr>
                <w:rFonts w:ascii="Times New Roman" w:eastAsiaTheme="minorHAnsi" w:hAnsi="Times New Roman"/>
                <w:bCs/>
                <w:color w:val="000000"/>
                <w:sz w:val="20"/>
                <w:szCs w:val="20"/>
                <w:lang w:eastAsia="en-US"/>
              </w:rPr>
              <w:t>вв</w:t>
            </w:r>
            <w:proofErr w:type="spellEnd"/>
            <w:proofErr w:type="gramEnd"/>
            <w:r w:rsidRPr="00337192">
              <w:rPr>
                <w:rFonts w:ascii="Times New Roman" w:eastAsiaTheme="minorHAnsi" w:hAnsi="Times New Roman"/>
                <w:bCs/>
                <w:color w:val="000000"/>
                <w:sz w:val="20"/>
                <w:szCs w:val="20"/>
                <w:lang w:eastAsia="en-US"/>
              </w:rPr>
              <w:t xml:space="preserve"> районах Крайнего Севера и районах приравненных к ним по аналогичным работам не менее 5 календарных лет.</w:t>
            </w:r>
          </w:p>
        </w:tc>
      </w:tr>
      <w:tr w:rsidR="00337192" w:rsidRPr="00337192" w:rsidTr="00337192">
        <w:trPr>
          <w:trHeight w:val="742"/>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Наличие опыта работы в нефтедобывающей промышленности   в районах Крайнего Севера и районах приравненных к </w:t>
            </w:r>
            <w:r w:rsidRPr="00337192">
              <w:rPr>
                <w:rFonts w:ascii="Times New Roman" w:eastAsiaTheme="minorHAnsi" w:hAnsi="Times New Roman"/>
                <w:bCs/>
                <w:color w:val="000000"/>
                <w:sz w:val="20"/>
                <w:szCs w:val="20"/>
                <w:lang w:eastAsia="en-US"/>
              </w:rPr>
              <w:lastRenderedPageBreak/>
              <w:t>ним по аналогичным работам  менее 5 лет.</w:t>
            </w:r>
          </w:p>
        </w:tc>
      </w:tr>
      <w:tr w:rsidR="00337192" w:rsidRPr="00337192" w:rsidTr="00337192">
        <w:trPr>
          <w:trHeight w:val="233"/>
        </w:trPr>
        <w:tc>
          <w:tcPr>
            <w:tcW w:w="1631" w:type="pct"/>
            <w:gridSpan w:val="2"/>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lastRenderedPageBreak/>
              <w:t xml:space="preserve">Требование о наличии трудовых ресурсов </w:t>
            </w:r>
          </w:p>
        </w:tc>
        <w:tc>
          <w:tcPr>
            <w:tcW w:w="923"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1205"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r>
      <w:tr w:rsidR="00337192" w:rsidRPr="00337192" w:rsidTr="00337192">
        <w:trPr>
          <w:trHeight w:val="463"/>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5</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 трудовых ресурсов у проектной организации (не менее 30 чел. инженеров проектировщиков)</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Количество инженеров проектировщиков - чел.</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Кол-во трудовых ресурсов соответствует или превышает </w:t>
            </w:r>
            <w:proofErr w:type="gramStart"/>
            <w:r w:rsidRPr="00337192">
              <w:rPr>
                <w:rFonts w:ascii="Times New Roman" w:eastAsiaTheme="minorHAnsi" w:hAnsi="Times New Roman"/>
                <w:bCs/>
                <w:color w:val="000000"/>
                <w:sz w:val="20"/>
                <w:szCs w:val="20"/>
                <w:lang w:eastAsia="en-US"/>
              </w:rPr>
              <w:t>значение</w:t>
            </w:r>
            <w:proofErr w:type="gramEnd"/>
            <w:r w:rsidRPr="00337192">
              <w:rPr>
                <w:rFonts w:ascii="Times New Roman" w:eastAsiaTheme="minorHAnsi" w:hAnsi="Times New Roman"/>
                <w:bCs/>
                <w:color w:val="000000"/>
                <w:sz w:val="20"/>
                <w:szCs w:val="20"/>
                <w:lang w:eastAsia="en-US"/>
              </w:rPr>
              <w:t xml:space="preserve"> установленное в критерии</w:t>
            </w:r>
          </w:p>
        </w:tc>
      </w:tr>
      <w:tr w:rsidR="00337192" w:rsidRPr="00337192" w:rsidTr="00337192">
        <w:trPr>
          <w:trHeight w:val="463"/>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Кол-во трудовых ресурсов, менее значения, установленного в критерии.</w:t>
            </w:r>
          </w:p>
        </w:tc>
      </w:tr>
      <w:tr w:rsidR="00337192" w:rsidRPr="00337192" w:rsidTr="00337192">
        <w:trPr>
          <w:trHeight w:val="605"/>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6</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337192">
              <w:rPr>
                <w:rFonts w:ascii="Times New Roman" w:eastAsiaTheme="minorHAnsi" w:hAnsi="Times New Roman"/>
                <w:bCs/>
                <w:color w:val="000000"/>
                <w:sz w:val="20"/>
                <w:szCs w:val="20"/>
                <w:lang w:eastAsia="en-US"/>
              </w:rPr>
              <w:t>и(</w:t>
            </w:r>
            <w:proofErr w:type="gramEnd"/>
            <w:r w:rsidRPr="00337192">
              <w:rPr>
                <w:rFonts w:ascii="Times New Roman" w:eastAsiaTheme="minorHAnsi" w:hAnsi="Times New Roman"/>
                <w:bCs/>
                <w:color w:val="000000"/>
                <w:sz w:val="20"/>
                <w:szCs w:val="20"/>
                <w:lang w:eastAsia="en-US"/>
              </w:rPr>
              <w:t>бурильная установка) и оборудования, для выполнения геодезических, геологических работ, лицензионное ПО для обработки материалов)</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Наличие/отсутствие</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Кол-во трудовых ресурсов соответствует или превышает </w:t>
            </w:r>
            <w:proofErr w:type="gramStart"/>
            <w:r w:rsidRPr="00337192">
              <w:rPr>
                <w:rFonts w:ascii="Times New Roman" w:eastAsiaTheme="minorHAnsi" w:hAnsi="Times New Roman"/>
                <w:bCs/>
                <w:color w:val="000000"/>
                <w:sz w:val="20"/>
                <w:szCs w:val="20"/>
                <w:lang w:eastAsia="en-US"/>
              </w:rPr>
              <w:t>значение</w:t>
            </w:r>
            <w:proofErr w:type="gramEnd"/>
            <w:r w:rsidRPr="00337192">
              <w:rPr>
                <w:rFonts w:ascii="Times New Roman" w:eastAsiaTheme="minorHAnsi" w:hAnsi="Times New Roman"/>
                <w:bCs/>
                <w:color w:val="000000"/>
                <w:sz w:val="20"/>
                <w:szCs w:val="20"/>
                <w:lang w:eastAsia="en-US"/>
              </w:rPr>
              <w:t xml:space="preserve"> установленное в критерии</w:t>
            </w:r>
          </w:p>
        </w:tc>
      </w:tr>
      <w:tr w:rsidR="00337192" w:rsidRPr="00337192" w:rsidTr="00337192">
        <w:trPr>
          <w:trHeight w:val="605"/>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Кол-во трудовых ресурсов, менее значения, установленного в критерии.</w:t>
            </w:r>
          </w:p>
        </w:tc>
      </w:tr>
      <w:tr w:rsidR="00337192" w:rsidRPr="00337192" w:rsidTr="00337192">
        <w:trPr>
          <w:trHeight w:val="122"/>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r>
      <w:tr w:rsidR="00337192" w:rsidRPr="00337192" w:rsidTr="00337192">
        <w:trPr>
          <w:trHeight w:val="187"/>
        </w:trPr>
        <w:tc>
          <w:tcPr>
            <w:tcW w:w="1631" w:type="pct"/>
            <w:gridSpan w:val="2"/>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Требование о наличии финансовых ресурсов </w:t>
            </w:r>
          </w:p>
        </w:tc>
        <w:tc>
          <w:tcPr>
            <w:tcW w:w="923"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1205"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r>
      <w:tr w:rsidR="00337192" w:rsidRPr="00337192" w:rsidTr="00337192">
        <w:trPr>
          <w:trHeight w:val="482"/>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7</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roofErr w:type="gramStart"/>
            <w:r w:rsidRPr="00337192">
              <w:rPr>
                <w:rFonts w:ascii="Times New Roman" w:eastAsiaTheme="minorHAnsi" w:hAnsi="Times New Roman"/>
                <w:bCs/>
                <w:color w:val="000000"/>
                <w:sz w:val="20"/>
                <w:szCs w:val="20"/>
                <w:lang w:eastAsia="en-US"/>
              </w:rPr>
              <w:t xml:space="preserve">Среднегодовой оборот подрядной организации за последние 3 года для выполнения ПИР  "строительство, реконструкция трубопроводов" не менее: </w:t>
            </w:r>
            <w:proofErr w:type="gramEnd"/>
          </w:p>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-35 </w:t>
            </w:r>
            <w:proofErr w:type="spellStart"/>
            <w:r w:rsidRPr="00337192">
              <w:rPr>
                <w:rFonts w:ascii="Times New Roman" w:eastAsiaTheme="minorHAnsi" w:hAnsi="Times New Roman"/>
                <w:bCs/>
                <w:color w:val="000000"/>
                <w:sz w:val="20"/>
                <w:szCs w:val="20"/>
                <w:lang w:eastAsia="en-US"/>
              </w:rPr>
              <w:t>млн</w:t>
            </w:r>
            <w:proofErr w:type="gramStart"/>
            <w:r w:rsidRPr="00337192">
              <w:rPr>
                <w:rFonts w:ascii="Times New Roman" w:eastAsiaTheme="minorHAnsi" w:hAnsi="Times New Roman"/>
                <w:bCs/>
                <w:color w:val="000000"/>
                <w:sz w:val="20"/>
                <w:szCs w:val="20"/>
                <w:lang w:eastAsia="en-US"/>
              </w:rPr>
              <w:t>.р</w:t>
            </w:r>
            <w:proofErr w:type="gramEnd"/>
            <w:r w:rsidRPr="00337192">
              <w:rPr>
                <w:rFonts w:ascii="Times New Roman" w:eastAsiaTheme="minorHAnsi" w:hAnsi="Times New Roman"/>
                <w:bCs/>
                <w:color w:val="000000"/>
                <w:sz w:val="20"/>
                <w:szCs w:val="20"/>
                <w:lang w:eastAsia="en-US"/>
              </w:rPr>
              <w:t>уб</w:t>
            </w:r>
            <w:proofErr w:type="spellEnd"/>
            <w:r w:rsidRPr="00337192">
              <w:rPr>
                <w:rFonts w:ascii="Times New Roman" w:eastAsiaTheme="minorHAnsi" w:hAnsi="Times New Roman"/>
                <w:bCs/>
                <w:color w:val="000000"/>
                <w:sz w:val="20"/>
                <w:szCs w:val="20"/>
                <w:lang w:eastAsia="en-US"/>
              </w:rPr>
              <w:t xml:space="preserve">. </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roofErr w:type="gramStart"/>
            <w:r w:rsidRPr="00337192">
              <w:rPr>
                <w:rFonts w:ascii="Times New Roman" w:eastAsiaTheme="minorHAnsi" w:hAnsi="Times New Roman"/>
                <w:bCs/>
                <w:color w:val="000000"/>
                <w:sz w:val="20"/>
                <w:szCs w:val="20"/>
                <w:lang w:eastAsia="en-US"/>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млн. </w:t>
            </w:r>
            <w:proofErr w:type="spellStart"/>
            <w:r w:rsidRPr="00337192">
              <w:rPr>
                <w:rFonts w:ascii="Times New Roman" w:eastAsiaTheme="minorHAnsi" w:hAnsi="Times New Roman"/>
                <w:bCs/>
                <w:color w:val="000000"/>
                <w:sz w:val="20"/>
                <w:szCs w:val="20"/>
                <w:lang w:eastAsia="en-US"/>
              </w:rPr>
              <w:t>руб</w:t>
            </w:r>
            <w:proofErr w:type="spellEnd"/>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Среднегодовой оборот </w:t>
            </w:r>
            <w:proofErr w:type="gramStart"/>
            <w:r w:rsidRPr="00337192">
              <w:rPr>
                <w:rFonts w:ascii="Times New Roman" w:eastAsiaTheme="minorHAnsi" w:hAnsi="Times New Roman"/>
                <w:bCs/>
                <w:color w:val="000000"/>
                <w:sz w:val="20"/>
                <w:szCs w:val="20"/>
                <w:lang w:eastAsia="en-US"/>
              </w:rPr>
              <w:t>за</w:t>
            </w:r>
            <w:proofErr w:type="gramEnd"/>
            <w:r w:rsidRPr="00337192">
              <w:rPr>
                <w:rFonts w:ascii="Times New Roman" w:eastAsiaTheme="minorHAnsi" w:hAnsi="Times New Roman"/>
                <w:bCs/>
                <w:color w:val="000000"/>
                <w:sz w:val="20"/>
                <w:szCs w:val="20"/>
                <w:lang w:eastAsia="en-US"/>
              </w:rPr>
              <w:t xml:space="preserve"> последние 3 года равен или больше установленного в критерии</w:t>
            </w:r>
          </w:p>
        </w:tc>
      </w:tr>
      <w:tr w:rsidR="00337192" w:rsidRPr="00337192" w:rsidTr="00337192">
        <w:trPr>
          <w:trHeight w:val="482"/>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Среднегодовой оборот </w:t>
            </w:r>
            <w:proofErr w:type="gramStart"/>
            <w:r w:rsidRPr="00337192">
              <w:rPr>
                <w:rFonts w:ascii="Times New Roman" w:eastAsiaTheme="minorHAnsi" w:hAnsi="Times New Roman"/>
                <w:bCs/>
                <w:color w:val="000000"/>
                <w:sz w:val="20"/>
                <w:szCs w:val="20"/>
                <w:lang w:eastAsia="en-US"/>
              </w:rPr>
              <w:t>за</w:t>
            </w:r>
            <w:proofErr w:type="gramEnd"/>
            <w:r w:rsidRPr="00337192">
              <w:rPr>
                <w:rFonts w:ascii="Times New Roman" w:eastAsiaTheme="minorHAnsi" w:hAnsi="Times New Roman"/>
                <w:bCs/>
                <w:color w:val="000000"/>
                <w:sz w:val="20"/>
                <w:szCs w:val="20"/>
                <w:lang w:eastAsia="en-US"/>
              </w:rPr>
              <w:t xml:space="preserve"> последние 3 года меньше </w:t>
            </w:r>
            <w:r w:rsidRPr="00337192">
              <w:rPr>
                <w:rFonts w:ascii="Times New Roman" w:eastAsiaTheme="minorHAnsi" w:hAnsi="Times New Roman"/>
                <w:bCs/>
                <w:color w:val="000000"/>
                <w:sz w:val="20"/>
                <w:szCs w:val="20"/>
                <w:lang w:eastAsia="en-US"/>
              </w:rPr>
              <w:lastRenderedPageBreak/>
              <w:t>установленного в критерии</w:t>
            </w:r>
          </w:p>
        </w:tc>
      </w:tr>
      <w:tr w:rsidR="00337192" w:rsidRPr="00337192" w:rsidTr="00337192">
        <w:trPr>
          <w:trHeight w:val="218"/>
        </w:trPr>
        <w:tc>
          <w:tcPr>
            <w:tcW w:w="1631" w:type="pct"/>
            <w:gridSpan w:val="2"/>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lastRenderedPageBreak/>
              <w:t>Иные требования</w:t>
            </w:r>
          </w:p>
        </w:tc>
        <w:tc>
          <w:tcPr>
            <w:tcW w:w="923"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1205"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r>
      <w:tr w:rsidR="00337192" w:rsidRPr="00337192" w:rsidTr="00337192">
        <w:trPr>
          <w:trHeight w:val="499"/>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8</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roofErr w:type="gramStart"/>
            <w:r w:rsidRPr="00337192">
              <w:rPr>
                <w:rFonts w:ascii="Times New Roman" w:eastAsiaTheme="minorHAnsi" w:hAnsi="Times New Roman"/>
                <w:bCs/>
                <w:color w:val="000000"/>
                <w:sz w:val="20"/>
                <w:szCs w:val="20"/>
                <w:lang w:eastAsia="en-US"/>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Письмо (в свободной форме) за подписью руководителя участника закупки</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Наличие/отсутствие</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Отсутствуют случаи судебных разбирательств, исковые требования по которым удовлетворены</w:t>
            </w:r>
          </w:p>
        </w:tc>
      </w:tr>
      <w:tr w:rsidR="00337192" w:rsidRPr="00337192" w:rsidTr="00337192">
        <w:trPr>
          <w:trHeight w:val="655"/>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Имеются случаи судебных разбирательств, исковые требования по которым удовлетворены</w:t>
            </w:r>
          </w:p>
        </w:tc>
      </w:tr>
      <w:tr w:rsidR="00337192" w:rsidRPr="00337192" w:rsidTr="00337192">
        <w:trPr>
          <w:trHeight w:val="473"/>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9</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Согласие с условиями стандартного договора, размещенного в составе данного ПДО </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Письмо о согласии с условиями  стандартного договора, размещенного в составе данного ПДО</w:t>
            </w:r>
            <w:proofErr w:type="gramStart"/>
            <w:r w:rsidRPr="00337192">
              <w:rPr>
                <w:rFonts w:ascii="Times New Roman" w:eastAsiaTheme="minorHAnsi" w:hAnsi="Times New Roman"/>
                <w:bCs/>
                <w:color w:val="000000"/>
                <w:sz w:val="20"/>
                <w:szCs w:val="20"/>
                <w:lang w:eastAsia="en-US"/>
              </w:rPr>
              <w:t xml:space="preserve"> ,</w:t>
            </w:r>
            <w:proofErr w:type="gramEnd"/>
            <w:r w:rsidRPr="00337192">
              <w:rPr>
                <w:rFonts w:ascii="Times New Roman" w:eastAsiaTheme="minorHAnsi" w:hAnsi="Times New Roman"/>
                <w:bCs/>
                <w:color w:val="000000"/>
                <w:sz w:val="20"/>
                <w:szCs w:val="20"/>
                <w:lang w:eastAsia="en-US"/>
              </w:rPr>
              <w:t xml:space="preserve"> за подписью руководителя предприятия</w:t>
            </w:r>
          </w:p>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Согласие/ Отсутствие  согласия</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Согласие с условиями стандартного договора, размещенного в составе данного ПДО, за подписью руководителя предприятия</w:t>
            </w:r>
          </w:p>
        </w:tc>
      </w:tr>
      <w:tr w:rsidR="00337192" w:rsidRPr="00337192" w:rsidTr="00337192">
        <w:trPr>
          <w:trHeight w:val="473"/>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Отсутствие  согласия с условиями стандартного договора, размещенного в составе данного ПДО.</w:t>
            </w:r>
          </w:p>
        </w:tc>
      </w:tr>
      <w:tr w:rsidR="00337192" w:rsidRPr="00337192" w:rsidTr="00337192">
        <w:trPr>
          <w:trHeight w:val="468"/>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10</w:t>
            </w: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Письмо за подписью руководителя предприятия</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Наличие/отсутствие</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 возможности направления представителей организации еженедельно по месту нахождения "Заказчика".</w:t>
            </w:r>
          </w:p>
        </w:tc>
      </w:tr>
      <w:tr w:rsidR="00337192" w:rsidRPr="00337192" w:rsidTr="00337192">
        <w:trPr>
          <w:trHeight w:val="442"/>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Отсутствие возможности направления представителей организации еженедельно по месту нахождения "Заказчика".</w:t>
            </w:r>
          </w:p>
        </w:tc>
      </w:tr>
      <w:tr w:rsidR="00337192" w:rsidRPr="00337192" w:rsidTr="00337192">
        <w:trPr>
          <w:trHeight w:val="660"/>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11</w:t>
            </w:r>
          </w:p>
        </w:tc>
        <w:tc>
          <w:tcPr>
            <w:tcW w:w="1467"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337192">
              <w:rPr>
                <w:rFonts w:ascii="Times New Roman" w:eastAsiaTheme="minorHAnsi" w:hAnsi="Times New Roman"/>
                <w:bCs/>
                <w:color w:val="000000"/>
                <w:sz w:val="20"/>
                <w:szCs w:val="20"/>
                <w:lang w:eastAsia="en-US"/>
              </w:rPr>
              <w:t>за</w:t>
            </w:r>
            <w:proofErr w:type="gramEnd"/>
            <w:r w:rsidRPr="00337192">
              <w:rPr>
                <w:rFonts w:ascii="Times New Roman" w:eastAsiaTheme="minorHAnsi" w:hAnsi="Times New Roman"/>
                <w:bCs/>
                <w:color w:val="000000"/>
                <w:sz w:val="20"/>
                <w:szCs w:val="20"/>
                <w:lang w:eastAsia="en-US"/>
              </w:rPr>
              <w:t xml:space="preserve"> последние 3 года?</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 Нет/Работы для нужд ОАО "СН-МНГ" ранее не выполнялись</w:t>
            </w:r>
            <w:proofErr w:type="gramStart"/>
            <w:r w:rsidRPr="00337192">
              <w:rPr>
                <w:rFonts w:ascii="Times New Roman" w:eastAsiaTheme="minorHAnsi" w:hAnsi="Times New Roman"/>
                <w:bCs/>
                <w:color w:val="000000"/>
                <w:sz w:val="20"/>
                <w:szCs w:val="20"/>
                <w:lang w:eastAsia="en-US"/>
              </w:rPr>
              <w:t>/Д</w:t>
            </w:r>
            <w:proofErr w:type="gramEnd"/>
            <w:r w:rsidRPr="00337192">
              <w:rPr>
                <w:rFonts w:ascii="Times New Roman" w:eastAsiaTheme="minorHAnsi" w:hAnsi="Times New Roman"/>
                <w:bCs/>
                <w:color w:val="000000"/>
                <w:sz w:val="20"/>
                <w:szCs w:val="20"/>
                <w:lang w:eastAsia="en-US"/>
              </w:rPr>
              <w:t>а</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 xml:space="preserve"> Нет/Работы для нужд ОАО "СН-МНГ" ранее не выполнялись</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Отсутствие документально оформленных фактов неудовлетворительного качества выполнения работ для нужд ОАО "СН-МНГ" либо работы для нужд ОАО "СН-МНГ" не выполнялись</w:t>
            </w:r>
          </w:p>
        </w:tc>
      </w:tr>
      <w:tr w:rsidR="00337192" w:rsidRPr="00337192" w:rsidTr="00337192">
        <w:trPr>
          <w:trHeight w:val="533"/>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Наличие документально подтвержденных фактов неудовлетворительного качества выполнения работ для нужд ОАО "СН-МНГ"</w:t>
            </w:r>
          </w:p>
        </w:tc>
      </w:tr>
      <w:tr w:rsidR="00337192" w:rsidRPr="00337192" w:rsidTr="00337192">
        <w:trPr>
          <w:trHeight w:val="324"/>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lastRenderedPageBreak/>
              <w:t>12</w:t>
            </w:r>
          </w:p>
        </w:tc>
        <w:tc>
          <w:tcPr>
            <w:tcW w:w="1467"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Согласие  на проведение Технического аудита Заказчиком.</w:t>
            </w: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Письмо за подписью руководителя предприятия</w:t>
            </w: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Согласие/ Отсутствие  согласия</w:t>
            </w: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Согласие на проведение Технического аудита Заказчиком</w:t>
            </w:r>
          </w:p>
        </w:tc>
      </w:tr>
      <w:tr w:rsidR="00337192" w:rsidRPr="00337192" w:rsidTr="00337192">
        <w:trPr>
          <w:trHeight w:val="324"/>
        </w:trPr>
        <w:tc>
          <w:tcPr>
            <w:tcW w:w="16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1467"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923"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598"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p>
        </w:tc>
        <w:tc>
          <w:tcPr>
            <w:tcW w:w="644"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Не соответствует</w:t>
            </w:r>
          </w:p>
        </w:tc>
        <w:tc>
          <w:tcPr>
            <w:tcW w:w="1205" w:type="pct"/>
          </w:tcPr>
          <w:p w:rsidR="00337192" w:rsidRPr="00337192" w:rsidRDefault="00337192">
            <w:pPr>
              <w:autoSpaceDE w:val="0"/>
              <w:autoSpaceDN w:val="0"/>
              <w:adjustRightInd w:val="0"/>
              <w:spacing w:before="0"/>
              <w:jc w:val="center"/>
              <w:rPr>
                <w:rFonts w:ascii="Times New Roman" w:eastAsiaTheme="minorHAnsi" w:hAnsi="Times New Roman"/>
                <w:bCs/>
                <w:color w:val="000000"/>
                <w:sz w:val="20"/>
                <w:szCs w:val="20"/>
                <w:lang w:eastAsia="en-US"/>
              </w:rPr>
            </w:pPr>
            <w:r w:rsidRPr="00337192">
              <w:rPr>
                <w:rFonts w:ascii="Times New Roman" w:eastAsiaTheme="minorHAnsi" w:hAnsi="Times New Roman"/>
                <w:bCs/>
                <w:color w:val="000000"/>
                <w:sz w:val="20"/>
                <w:szCs w:val="20"/>
                <w:lang w:eastAsia="en-US"/>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A95FDB" w:rsidRDefault="00A95FDB"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CEC" w:rsidRDefault="005B3CEC">
      <w:pPr>
        <w:spacing w:before="0"/>
      </w:pPr>
      <w:r>
        <w:separator/>
      </w:r>
    </w:p>
  </w:endnote>
  <w:endnote w:type="continuationSeparator" w:id="0">
    <w:p w:rsidR="005B3CEC" w:rsidRDefault="005B3CE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CEC" w:rsidRDefault="005B3CEC">
      <w:pPr>
        <w:spacing w:before="0"/>
      </w:pPr>
      <w:r>
        <w:separator/>
      </w:r>
    </w:p>
  </w:footnote>
  <w:footnote w:type="continuationSeparator" w:id="0">
    <w:p w:rsidR="005B3CEC" w:rsidRDefault="005B3CE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499E"/>
    <w:rsid w:val="00064B65"/>
    <w:rsid w:val="00072FAA"/>
    <w:rsid w:val="00074532"/>
    <w:rsid w:val="00075915"/>
    <w:rsid w:val="0008364A"/>
    <w:rsid w:val="00086326"/>
    <w:rsid w:val="000940E7"/>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12D76"/>
    <w:rsid w:val="0021409E"/>
    <w:rsid w:val="00221581"/>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37192"/>
    <w:rsid w:val="00341539"/>
    <w:rsid w:val="00344ECE"/>
    <w:rsid w:val="003516F3"/>
    <w:rsid w:val="0035792F"/>
    <w:rsid w:val="00365D5A"/>
    <w:rsid w:val="00372910"/>
    <w:rsid w:val="00381783"/>
    <w:rsid w:val="00383162"/>
    <w:rsid w:val="00386DF8"/>
    <w:rsid w:val="00387336"/>
    <w:rsid w:val="003941CA"/>
    <w:rsid w:val="003A16AA"/>
    <w:rsid w:val="003A5CFF"/>
    <w:rsid w:val="003A5E14"/>
    <w:rsid w:val="003A72EF"/>
    <w:rsid w:val="003C0123"/>
    <w:rsid w:val="003C1C2F"/>
    <w:rsid w:val="003E12E3"/>
    <w:rsid w:val="003F0B4B"/>
    <w:rsid w:val="003F1714"/>
    <w:rsid w:val="003F21DC"/>
    <w:rsid w:val="003F42A6"/>
    <w:rsid w:val="003F6DE4"/>
    <w:rsid w:val="00404678"/>
    <w:rsid w:val="0041000F"/>
    <w:rsid w:val="004119ED"/>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023D"/>
    <w:rsid w:val="004D1D23"/>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B3CEC"/>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4945"/>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65DE"/>
    <w:rsid w:val="00730DA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371B5"/>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5FDB"/>
    <w:rsid w:val="00A96EAD"/>
    <w:rsid w:val="00AB5439"/>
    <w:rsid w:val="00AC5343"/>
    <w:rsid w:val="00AC5B81"/>
    <w:rsid w:val="00AF2163"/>
    <w:rsid w:val="00B01CEC"/>
    <w:rsid w:val="00B02069"/>
    <w:rsid w:val="00B1194C"/>
    <w:rsid w:val="00B145EA"/>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DF6076"/>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8CCF5-E8E7-48CF-864E-183053DCA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2122</TotalTime>
  <Pages>15</Pages>
  <Words>4657</Words>
  <Characters>26549</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266</cp:revision>
  <cp:lastPrinted>2015-11-16T09:09:00Z</cp:lastPrinted>
  <dcterms:created xsi:type="dcterms:W3CDTF">2014-07-17T07:15:00Z</dcterms:created>
  <dcterms:modified xsi:type="dcterms:W3CDTF">2015-12-03T14:03:00Z</dcterms:modified>
</cp:coreProperties>
</file>