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5F" w:rsidRPr="00006EA0" w:rsidRDefault="00A14A90" w:rsidP="00DA4E5F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="00DA4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DA4E5F" w:rsidRPr="00006E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ФОРМА 6</w:t>
      </w:r>
    </w:p>
    <w:p w:rsidR="00A14A90" w:rsidRPr="00DA4E5F" w:rsidRDefault="00A14A90" w:rsidP="00DA4E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</w:p>
    <w:p w:rsidR="00A14A90" w:rsidRPr="00E76CE5" w:rsidRDefault="00A14A90" w:rsidP="00A14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A14A90" w:rsidRPr="00A14A90" w:rsidRDefault="00A14A90" w:rsidP="00A14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сервисному обслуживанию и ремонту станков-качалок, техническому обслуживанию и ремонту редукторов станков-качалок</w:t>
      </w:r>
    </w:p>
    <w:p w:rsidR="00A14A90" w:rsidRPr="00A14A90" w:rsidRDefault="00A14A90" w:rsidP="00A14A9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4A90" w:rsidRPr="00A14A90" w:rsidRDefault="00A14A90" w:rsidP="00A14A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«____»_________20__ г.</w:t>
      </w:r>
    </w:p>
    <w:p w:rsidR="00A14A90" w:rsidRPr="00A14A90" w:rsidRDefault="00A14A90" w:rsidP="00A14A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="008D3E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A14A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доверенности №_________ от ______________</w:t>
      </w:r>
      <w:r w:rsidRPr="00A14A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  и </w:t>
      </w:r>
      <w:r w:rsidRPr="00A14A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</w:t>
      </w:r>
      <w:r w:rsidR="004537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__ </w:t>
      </w:r>
      <w:proofErr w:type="gramEnd"/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14A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A14A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14A90">
        <w:rPr>
          <w:rFonts w:ascii="Times New Roman" w:eastAsia="Times New Roman" w:hAnsi="Times New Roman" w:cs="Times New Roman"/>
          <w:sz w:val="16"/>
          <w:szCs w:val="16"/>
          <w:lang w:eastAsia="ar-SA"/>
        </w:rPr>
        <w:t>(_____________________________________________________________________________________</w:t>
      </w:r>
      <w:r w:rsidR="00453719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______________________________</w:t>
      </w:r>
      <w:r w:rsidRPr="00A14A90"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  <w:r w:rsidRPr="00A14A9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,</w:t>
      </w:r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14A9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 _____________________________________________</w:t>
      </w:r>
      <w:r w:rsidR="0045371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              </w:t>
      </w:r>
    </w:p>
    <w:p w:rsidR="00A14A90" w:rsidRPr="00A14A90" w:rsidRDefault="00A14A90" w:rsidP="00A14A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A14A90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(полностью указать Ф.И.О., в случае </w:t>
      </w:r>
      <w:r w:rsidRPr="00A14A90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____________________________________________________________________________________</w:t>
      </w:r>
      <w:r w:rsidR="00453719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______________________________</w:t>
      </w:r>
      <w:r w:rsidRPr="00A14A9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__, </w:t>
      </w:r>
      <w:r w:rsidRPr="00A14A90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14A90" w:rsidRPr="00A14A90" w:rsidRDefault="00A14A90" w:rsidP="00A14A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</w:t>
      </w:r>
      <w:r w:rsidRPr="00A14A9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A14A90" w:rsidRPr="00A14A90" w:rsidRDefault="00A14A90" w:rsidP="00A14A9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A14A90" w:rsidRPr="00A14A90" w:rsidRDefault="00A14A90" w:rsidP="00A14A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Дополнительное соглашение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приемки оказанных услуг</w:t>
      </w: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«Территория Заказчика» - 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A14A90" w:rsidRPr="00A14A90" w:rsidRDefault="00A14A90" w:rsidP="00A14A90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A14A9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 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срок»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«Простой» -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течение которого Исполнитель не может оказывать услуги, временная приостановка оказания услуг по причинам экономического, технологического, технического или организационного характера. В рамках настоящего Договора не является простоем время ожидания оказания Услуг со стороны Заказчика или Исполнителя продолжительностью менее двух часов.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«Станок-качалка (СК)»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индивидуальный механический привод скважинного штангового насоса.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«Кривошипно-шатунный механизм СК (КШМ)»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механизм в составе СК, преобразующий вращательное движение кривошипов, через шатуны в колебательное (возвратно-поступательное) движение балансира (насосной штанги).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Металлоконструкции»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сваренные из деталей сборочные единицы СК: рама, балансир, головка балансира, стойка, траверса, ограждающие конструкции, лестницы, площадки.</w:t>
      </w:r>
      <w:proofErr w:type="gramEnd"/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«НАКС»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национальное агентство контроля сварки.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«Редуктор СК»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устройство с зубчатыми передачами, уменьшающее частоту вращения и повышающее крутящий момент от входного (быстроходного) вала к выходному (тихоходному) валу, с насаженными на быстроходный вал тормозным барабаном и шкивом клиноременной передачи, с насаженными на тихоходный вал двух кривошипов без противовесов.</w:t>
      </w:r>
      <w:proofErr w:type="gramEnd"/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«Ремонт редуктора СК»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выпрессовка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деталей, насаженных на концы валов (тормозной барабан, шкив клиноременной передачи, кривошипы), разборка, чистка,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дефектовка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деталей, неразрушающий контроль опасных сечений тихоходного вала, замена изношенных деталей, замена подшипников, замена уплотнений, сборка, регулировка, проверка зазоров, запрессовка снятых деталей на концы валов, обкатка.</w:t>
      </w:r>
      <w:proofErr w:type="gramEnd"/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«Сервисное обслуживание (СО)»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ремонт, выполняемый на месте эксплуатации СК с целью поддержания его работоспособности, замены изношенных деталей, устранения неисправностей (повышенной вибрации, шумов, утечек уплотнений, неуравновешенности и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тклонений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контроля технического состояния.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«Техническое обслуживание (ТО)»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операций по поддержанию работоспособности оборудования.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обслуживание (ТО) редуктора СК»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частичная разборка редуктора, чистка, ревизия зубчатых зацеплений, контроль состояния подшипников, тормозного барабана, шкива клиноременной передачи, кривошипов, корпуса, замена уплотнений, сборка, обкатка.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 и оплачивает, а Исполнитель принимает на себя обязательства по оказанию следующих Услуг: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сервисное обслуживание и ремонт станков-качалок на объектах Заказчика,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техническое обслуживание и ремонт редукторов станков-качалок (далее – Услуги).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Наименование, количество и цены на Услуги определяются Спецификацией (Приложение № 1).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Услуги по настоящему Договору оказываются на основании заявок Заказчика, оформленных по форме, согласно Приложению № 4 к настоящему Договору. Заявки на оказание услуг принимаются диспетчерской службой Исполнителя ежедневно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по ______.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A14A90" w:rsidRPr="00A14A90" w:rsidRDefault="00A14A90" w:rsidP="00A14A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3.1.</w:t>
      </w: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Сумма Договора согласно Спецификации (Приложение №1) составляет: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__________ коп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_________ коп.) без НДС, кроме того НДС (18%): 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 коп. (______________ рублей _______ коп). Итого сумма Договора с учетом НДС  _______________ руб. ______ коп (______________ рублей _______ коп.).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</w:t>
      </w: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акта приемки оказанных услуг;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hyperlink r:id="rId7" w:history="1">
        <w:r w:rsidRPr="00A14A9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дефектной ведомости.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A14A90" w:rsidRPr="00A14A90" w:rsidRDefault="00A14A90" w:rsidP="00A14A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>3.5. Счета-фактуры, составляемые во исполнение обязатель</w:t>
      </w:r>
      <w:proofErr w:type="gramStart"/>
      <w:r w:rsidRPr="00A14A9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A14A9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A14A9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A14A9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14A90" w:rsidRPr="00A14A90" w:rsidRDefault="00A14A90" w:rsidP="00A1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14A90" w:rsidRPr="00C55923" w:rsidRDefault="00A14A90" w:rsidP="00C55923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Порядок подачи заявок Заказчиком и выполнения их Исполнителем, порядок оказания услуг и содержание услуг определены Сторонами в По</w:t>
      </w:r>
      <w:r w:rsidR="00C5592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ложении о взаимодействии ОАО «СН-МНГ» и _______ при выполнении работ (оказании услуг) по сервисному обслуживанию, ремонту станков-качалок и порядку документального оформления операций по перемещению станков-качалок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2), при этом: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Слесарные работы должны осуществляться персоналом, обученным и аттестованным в установленном порядке.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Запасные части (за исключением редукторов СК)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5 к настоящему Договору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Неразрушающий контроль узлов и металлоконструкций (визуальный и измерительный контроль, ультразвуковой контроль) должен осуществляться после восстановления и/или усиления узлов и металлоконструкций СК на базе Исполнителя. Сварочные работы должны осуществляться сварщиками, аттестованными по системе НАКС на соответствующую область аттестации.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Техническое обслуживание и ремонт редукторов СК выполняются Исполнителем на собственной производственной базе. Запасные части и расходные материалы, необходимые для выполнения ТО и ремонта редукторов СК, приобретаются или восстанавливаются Исполнителем за счёт собственных средств. ТО и ремонт редукторов СК </w:t>
      </w:r>
      <w:r w:rsidRPr="00A14A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включают грузоподъемные операции и перевозку редукторов с объекта или места хранения Заказчика на базу Исполнителя и обратно.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передачи Оборудования в ремонт и возврата Оборудования из ремонта определен Сторонами в Приложении № 3 к настоящему Договору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За счёт собственных средств Исполнитель обеспечивает проведения 100% неразрушающего контроля на предмет наличия поверхностных трещин всех пальцев кривошипа (новых и б/у)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отечественных СК до их установки на СК. При демонтаже пальца запрещается его повторное использование без проведения его контроля независимо от наработки пальца.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4.1.6. Хранение оборотного фонда запасных частей, включая металлоконструкции и редукторы, а также запаса расходных материалов осуществляется Исполнителем на собственной производственной базе и удаленных участках по обслуживанию.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4.1.7. 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4.1.8. Время нахождения СК в ремонте не должно превышать 24 (двадцати четырех) часов с момента начала ремонтных работ за исключением услуг по монтажу СК и сборно-разборных фундаментов СК, по которым время нахождения СК в ремонте не должно превышать 3 (трех) суток.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4.1.9. Внеплановые услуги, связанные с отказами СК или необходимостью запуска СК по окончании ремонта скважин, выполняются вне очереди. Срок начала оказания таких услуг не более 8 (восьми) часов с момента получения заявки Исполнителем по факсимильной связи. Время нахождения СК в ремонте, связанном с отказом СК не должно превышать  2 (двух) суток.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4.1.10. Уборка территории по окончании оказания Услуг на объекте выполняется Исполнителем за счёт собственных средств.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4.1.11.</w:t>
      </w: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Гарантийный срок после проведенного ремонта </w:t>
      </w:r>
      <w:r w:rsidRPr="00CF4A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месяцев </w:t>
      </w:r>
      <w:proofErr w:type="gramStart"/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даты ввода</w:t>
      </w:r>
      <w:proofErr w:type="gramEnd"/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эксплуатацию, но не более 12 месяцев с даты получения оборудования из ремонта.</w:t>
      </w:r>
    </w:p>
    <w:p w:rsidR="00A14A90" w:rsidRPr="00A14A90" w:rsidRDefault="00A14A90" w:rsidP="00A14A90">
      <w:pPr>
        <w:numPr>
          <w:ilvl w:val="1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Перечень Услуг, оказываемых Исполнителем </w:t>
      </w:r>
      <w:r w:rsidRPr="00A14A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совместно с Заказчиком: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Монтаж элементов заземления СК и ограждения КШМ при монтаже СК (сварочные работы выполняются Заказчиком).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Монтаж сборно-разборных фундаментов СК (щебень, самосвал и землеройная техника предоставляются Заказчиком).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ПОРЯДОК СДАЧИ И ПРИЕМКИ  УСЛУГ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Сдача-приемка оказанных услуг осуществляется в следующем порядке: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2 (двух)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14A90" w:rsidRPr="00A14A90" w:rsidRDefault="00A14A90" w:rsidP="00A14A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Заказчик обязан: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Оплатить оказанные Исполнителем Услуги в порядке, установленном настоящим Договором.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Направить Исполнителю уведомление о назначении своих представителей, с указанием их контактных телефонов.</w:t>
      </w:r>
    </w:p>
    <w:p w:rsidR="00A14A90" w:rsidRPr="00A14A90" w:rsidRDefault="002B09F3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14A90"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Заказчик вправе: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В любое время проверять и контролировать: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A14A90" w:rsidRPr="00A14A90" w:rsidRDefault="00A14A90" w:rsidP="00A14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6.2.2. Требовать от Исполнителя устранения замечаний и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В любое время полностью или частично приостановить оказание Услуг, путем уведомления Исполнителя, указав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Услуги должны быть приостановлены. В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14A90" w:rsidRPr="00A14A90" w:rsidRDefault="00A14A90" w:rsidP="00A14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 Отдавать распоряжения, относящиеся к исполнению настоящего Договора и требовать от Исполнителя их исполнения.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Устанавливать сроки устранения Исполнителем недостатков.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14A90" w:rsidRPr="00A14A90" w:rsidRDefault="00A14A90" w:rsidP="00A14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6.2.9.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1"/>
      <w:bookmarkEnd w:id="2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A14A90">
        <w:rPr>
          <w:rFonts w:ascii="Calibri" w:eastAsia="Times New Roman" w:hAnsi="Calibri" w:cs="Times New Roman"/>
          <w:lang w:eastAsia="ru-RU"/>
        </w:rPr>
        <w:t xml:space="preserve">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 Без объяснения причин отказать Исполнителю в привлечении последним Субподрядчиков для целей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Исполнитель обязуется: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6.3.2. Оказывать Услуги в соответствии с </w:t>
      </w:r>
      <w:r w:rsidR="00816FAE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</w:t>
      </w:r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взаимодействии ОАО «СН-МНГ» и _______ при выполнении работ (оказании услуг) по сервисному обслуживанию, ремонту станков-качалок и порядку документального оформления операций по перемещению станков-качалок</w:t>
      </w:r>
      <w:r w:rsidR="00816FAE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2)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6.3.5. При получении уведомления Заказчика, полностью или частично приостановить/возобновить оказание Услуг.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6.3.6. Для оказания Услуг привлекать компетентный, достаточно квалифицированный, обученный персонал, аттестованный по охране труда, промышленной и пожарной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14A90" w:rsidRPr="00A14A90" w:rsidRDefault="00A14A90" w:rsidP="00A14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6.3.10. 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24 (двадцати четырех) часов);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6 (шести) часов);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6 (шести) часов);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24 (двадцати четырех) часов);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6 (шести) часов). Исполнитель </w:t>
      </w: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(34643) 49-043, факс 47-962; ЦИТС - 46-222, факс 46-589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48 (сорока восьми) часов);</w:t>
      </w:r>
    </w:p>
    <w:p w:rsidR="00A14A90" w:rsidRPr="00A14A90" w:rsidRDefault="00A14A90" w:rsidP="00A14A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24 (двадцати четырех) часов);</w:t>
      </w:r>
    </w:p>
    <w:p w:rsidR="00A14A90" w:rsidRPr="00A14A90" w:rsidRDefault="00A14A90" w:rsidP="00A14A9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невозможности выполнить поступившую заявку – в течение 2 (двух) часов.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6.3.13. Соблюдать и выполнять требования действующих нормативно правовых актов РФ, включая, но не ограничиваясь: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21.07.1997 г. № 116-ФЗ «О промышленной безопасности опасных производственных объектов»;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12.03.2013 г. N 101.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6.3.14. Соблюдать и выполнять требования следующих локальных нормативных актов</w:t>
      </w: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механизации.</w:t>
      </w:r>
      <w:r w:rsidR="00DA4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E5F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3);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контрольно-пропускных  пунктах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  <w:r w:rsidR="00DA4E5F" w:rsidRPr="00DA4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6</w:t>
      </w:r>
      <w:r w:rsidR="00DA4E5F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4A90" w:rsidRPr="00A14A90" w:rsidRDefault="00A14A90" w:rsidP="00A14A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025-2013;</w:t>
      </w:r>
      <w:r w:rsidR="00021312" w:rsidRP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7</w:t>
      </w:r>
      <w:r w:rsidR="00021312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  <w:r w:rsidR="00021312" w:rsidRP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8</w:t>
      </w:r>
      <w:r w:rsidR="00021312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взаимодействия структурных подразделений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  <w:r w:rsidR="00021312" w:rsidRP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9</w:t>
      </w:r>
      <w:r w:rsidR="00021312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 экстренного медицинского реагирования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-Мегионнефтегаз»;</w:t>
      </w:r>
      <w:r w:rsidR="00021312" w:rsidRP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10</w:t>
      </w:r>
      <w:r w:rsidR="00021312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379E8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Процедура «Контроль употребления алкоголя, наркотических и токсических веществ».</w:t>
      </w:r>
      <w:r w:rsidR="00021312" w:rsidRP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3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11)</w:t>
      </w:r>
      <w:r w:rsidR="00A379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79E8" w:rsidRPr="00CF2F1E" w:rsidRDefault="00A379E8" w:rsidP="00A379E8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F2F1E">
        <w:rPr>
          <w:rFonts w:ascii="Times New Roman" w:hAnsi="Times New Roman" w:cs="Times New Roman"/>
        </w:rPr>
        <w:t>Положени</w:t>
      </w:r>
      <w:r>
        <w:rPr>
          <w:rFonts w:ascii="Times New Roman" w:hAnsi="Times New Roman" w:cs="Times New Roman"/>
        </w:rPr>
        <w:t>е</w:t>
      </w:r>
      <w:r w:rsidRPr="00CF2F1E">
        <w:rPr>
          <w:rFonts w:ascii="Times New Roman" w:hAnsi="Times New Roman" w:cs="Times New Roman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F2F1E">
        <w:rPr>
          <w:rFonts w:ascii="Times New Roman" w:hAnsi="Times New Roman" w:cs="Times New Roman"/>
        </w:rPr>
        <w:t>Славнефть</w:t>
      </w:r>
      <w:proofErr w:type="spellEnd"/>
      <w:r w:rsidRPr="00CF2F1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 xml:space="preserve"> (Приложение №12)</w:t>
      </w:r>
      <w:r w:rsidR="00397381">
        <w:rPr>
          <w:rFonts w:ascii="Times New Roman" w:hAnsi="Times New Roman" w:cs="Times New Roman"/>
        </w:rPr>
        <w:t>;</w:t>
      </w:r>
      <w:r w:rsidRPr="00CF2F1E">
        <w:rPr>
          <w:rFonts w:ascii="Times New Roman" w:hAnsi="Times New Roman" w:cs="Times New Roman"/>
        </w:rPr>
        <w:t xml:space="preserve"> </w:t>
      </w:r>
    </w:p>
    <w:p w:rsidR="00A379E8" w:rsidRPr="0071751D" w:rsidRDefault="00A379E8" w:rsidP="00A379E8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CF2F1E">
        <w:rPr>
          <w:rFonts w:ascii="Times New Roman" w:hAnsi="Times New Roman" w:cs="Times New Roman"/>
        </w:rPr>
        <w:t>- Регламента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 w:cs="Times New Roman"/>
        </w:rPr>
        <w:t xml:space="preserve"> (Приложение №13)</w:t>
      </w:r>
      <w:r w:rsidRPr="00CF2F1E">
        <w:rPr>
          <w:rFonts w:ascii="Times New Roman" w:hAnsi="Times New Roman"/>
        </w:rPr>
        <w:t>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6.3.16.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6.3.17. Качественно, в установленные сроки, устранять выявленные Заказчиком недостатки.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6.3.19.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6.3.20. Обеспечивать достоверность и обоснованность всех информационных данных, предоставляемых Заказчику.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6.3.21.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6.3.22. Обеспечить выполнение необходимых мероприятий в области промышленной, пожарной безопасности, охраны труда, охраны окружающей среды, рационального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использования природных ресурсов.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6.3.23. 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6.3.24.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6.3.25. Обеспечить соответствие качества оказываемых услуг требованиям настоящего Договора, норм, регламентов, инструкций, технических условий,  действующих в  РФ и ОАО «СН-МНГ», а также их соблюдение в процессе оказания услуг.</w:t>
      </w:r>
    </w:p>
    <w:p w:rsidR="00A14A90" w:rsidRPr="00A14A90" w:rsidRDefault="00A14A90" w:rsidP="00A14A9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6.3.26. Принимать все меры по недопущению простоев в процессе оказания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по своей вине, так и по вине привлеченных им субподрядных организаций.</w:t>
      </w:r>
    </w:p>
    <w:p w:rsidR="00A14A90" w:rsidRPr="00A14A90" w:rsidRDefault="00A14A90" w:rsidP="00A14A90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6.3.27. 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A14A90" w:rsidRPr="00A14A90" w:rsidRDefault="00A14A90" w:rsidP="00A14A90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6.3.28.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A14A90" w:rsidRPr="00A14A90" w:rsidRDefault="00A14A90" w:rsidP="00A14A90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6.3.29.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A14A90" w:rsidRPr="00A14A90" w:rsidRDefault="00A14A90" w:rsidP="00A14A90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6.3.30. 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A14A90" w:rsidRPr="00A14A90" w:rsidRDefault="00A14A90" w:rsidP="00A14A90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6.3.31.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6.3.32.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6.3.33.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6.3.34. Ежемесячно, не позднее 3-го числа месяца следующего за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предоставлять Заказчику информацию об отработанных на объектах Заказчика работниками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 человеко-часах при выполнении договорных обязательств за отчётный месяц.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6.3.35. 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сервисному обслуживанию и ремонту СК в срок в соответствии с заявкой Заказчика и условиями Договора;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техническому обслуживанию и ремонту редукторов СК в срок, указанный в двухстороннем акте, но не более 20 календарных дней.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Исполнитель имеет право: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6.4.2.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14A90" w:rsidRPr="00A14A90" w:rsidRDefault="00A14A90" w:rsidP="00A14A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7.7.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7.8.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7.9.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7.11. В случае если, Исполнитель на территории Заказчика: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7.12. За нарушение Исполнителем требований/положений локальных нормативных актов Заказчика, а именно: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Порядка документального оформления и учета операций при выполнении работ по ремонту нефтепромыслового, сварочного оборудования и средств малой механизации (Приложение № 3);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«О контрольно-пропускных пунктах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6);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</w:t>
      </w:r>
      <w:r w:rsidR="001B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ности» СТО 025-2013 (Приложение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№ 7);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 (Приложение № 8);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структурных подразделений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9);</w:t>
      </w:r>
    </w:p>
    <w:p w:rsidR="00A379E8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10)</w:t>
      </w:r>
      <w:r w:rsidR="00A379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79E8" w:rsidRPr="00CF2F1E" w:rsidRDefault="00A379E8" w:rsidP="00A379E8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F2F1E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F2F1E">
        <w:rPr>
          <w:rFonts w:ascii="Times New Roman" w:hAnsi="Times New Roman" w:cs="Times New Roman"/>
        </w:rPr>
        <w:t>Славнефть</w:t>
      </w:r>
      <w:proofErr w:type="spellEnd"/>
      <w:r w:rsidRPr="00CF2F1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 xml:space="preserve"> (Приложение №12);</w:t>
      </w:r>
      <w:r w:rsidRPr="00CF2F1E">
        <w:rPr>
          <w:rFonts w:ascii="Times New Roman" w:hAnsi="Times New Roman" w:cs="Times New Roman"/>
        </w:rPr>
        <w:t xml:space="preserve"> </w:t>
      </w:r>
    </w:p>
    <w:p w:rsidR="00A14A90" w:rsidRPr="00A14A90" w:rsidRDefault="00A379E8" w:rsidP="00A379E8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CF2F1E">
        <w:rPr>
          <w:rFonts w:ascii="Times New Roman" w:hAnsi="Times New Roman" w:cs="Times New Roman"/>
        </w:rPr>
        <w:t>- Регламента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 w:cs="Times New Roman"/>
        </w:rPr>
        <w:t xml:space="preserve"> (Приложение №13)</w:t>
      </w:r>
      <w:r w:rsidR="00A14A90" w:rsidRPr="00A14A90">
        <w:rPr>
          <w:rFonts w:ascii="Times New Roman" w:hAnsi="Times New Roman" w:cs="Times New Roman"/>
        </w:rPr>
        <w:t>,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7.13. В случае не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7.14.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7.15.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объема Услуг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настоящим Договором,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7.16.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7.17.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7.18.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7.19.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7.21.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A14A90" w:rsidRPr="00A14A90" w:rsidRDefault="00A14A90" w:rsidP="00A14A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14A90" w:rsidRPr="00A14A90" w:rsidRDefault="00A14A90" w:rsidP="00A14A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A14A90" w:rsidRPr="00A14A90" w:rsidRDefault="00A14A90" w:rsidP="00A14A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14A90" w:rsidRPr="00A14A90" w:rsidRDefault="00A14A90" w:rsidP="00A14A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14A90" w:rsidRPr="00A14A90" w:rsidRDefault="00A14A90" w:rsidP="00A14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7.22.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 11).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7.23. </w:t>
      </w:r>
      <w:proofErr w:type="gramStart"/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ть Исполнителю штраф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размере 30</w:t>
      </w: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0 000 рублей, за каждый такой случай, а Исполнитель обязуется оплатить его в течение 30 дней с момента предъявления требования.</w:t>
      </w:r>
    </w:p>
    <w:p w:rsidR="00A14A90" w:rsidRPr="00A14A90" w:rsidRDefault="00A14A90" w:rsidP="00A14A90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14A90" w:rsidRPr="00A14A90" w:rsidRDefault="00A14A90" w:rsidP="00A379E8">
      <w:pPr>
        <w:numPr>
          <w:ilvl w:val="0"/>
          <w:numId w:val="4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14A90" w:rsidRPr="00A14A90" w:rsidRDefault="00A14A90" w:rsidP="00A14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7.24.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7.25.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Исполнитель уплачивает штраф в размере 0,2% (ноль целой двух десятых процента) от стоимости объема Услуг,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7.26.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7.27.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7.28. 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7.29.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7.30.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7.31.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7.32.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7.33. 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7.34.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7.35. Заказчик не несет никакой ответственности за сохранность имущества Исполнителя.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7.36.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7.37. В случае невыполнения согласованного представителями Сторон объема услуг по техническому обслуживанию и ремонту редукторов, запланированного на месяц, Исполнитель обязуется оплатить Заказчику штраф в размере 10% (десять процентов) от стоимости невыполненного в срок объема Услуг.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7.38. 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20% (двадцать процентов) от стоимости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неоказанного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объема услуг.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7.39. 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50% (пятьдесят процентов) от стоимости Услуг, в которых выявлены недостатки.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7.40. В случаях возникновения простоев, осложнений, аварий, произошедших в процессе оказания услуг по вине Исполнителя, которое подтверждается оформлением акта о простое, Исполнитель возмещает Заказчику все причиненные таким простоем убытки. Исполнитель обязуется возместить убытки Заказчика в полном объеме в течение 30 (тридцати) календарных дней с момента предъявления Заказчиком требования.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7.41. Время технологического ожидания (простоя) бригад Исполнителя по вине Заказчика, оплачивается Исполнителю по стоимости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бригада-часа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акта о простое, подписанного уполномоченными представителями Заказчика и ответственного представителя Исполнителя.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7.42. В случае если Услуги, определенные настоящим Договором, оказаны Исполнителем некачественно и (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не устранены в установленные сроки, Исполнитель уплачивает штраф в размере 15% (пятнадцать процентов) от общей стоимости Услуг в течение 30 (тридцати) дней с момента предъявления требования. </w:t>
      </w:r>
    </w:p>
    <w:p w:rsidR="00A14A90" w:rsidRPr="00A14A90" w:rsidRDefault="00A14A90" w:rsidP="00A14A90">
      <w:pPr>
        <w:tabs>
          <w:tab w:val="num" w:pos="14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7.43. За нарушение Исполнителем сроков предоставления  Заказчику счетов-фактур, предусмотренных условиями настоящего Договора, Исполнитель обязуется оплатить Заказчику штраф в размере 1(один) % от стоимости услуг, указанной в данном счете-фактуре, за каждый случай нарушения.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7.44.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7.45.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7.46.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7.47.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14A90" w:rsidRPr="00A14A90" w:rsidRDefault="00A14A90" w:rsidP="00A14A90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8.2.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A14A90" w:rsidRPr="00A14A90" w:rsidRDefault="00A14A90" w:rsidP="00A14A90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9.2.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14A90" w:rsidRPr="00A14A90" w:rsidRDefault="00A14A90" w:rsidP="00A14A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A14A90" w:rsidRPr="00A14A90" w:rsidRDefault="00A14A90" w:rsidP="00A14A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A14A90" w:rsidRPr="00A14A90" w:rsidRDefault="00A14A90" w:rsidP="00A1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11.4.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14A90" w:rsidRPr="00A14A90" w:rsidRDefault="00A14A90" w:rsidP="00A14A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keepNext/>
        <w:keepLines/>
        <w:numPr>
          <w:ilvl w:val="0"/>
          <w:numId w:val="46"/>
        </w:numPr>
        <w:spacing w:after="0" w:line="240" w:lineRule="auto"/>
        <w:jc w:val="center"/>
        <w:outlineLvl w:val="3"/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</w:pPr>
      <w:r w:rsidRPr="00A14A90"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  <w:t>ПРОЧИЕ УСЛОВИЯ</w:t>
      </w:r>
    </w:p>
    <w:p w:rsidR="00A14A90" w:rsidRPr="00A14A90" w:rsidRDefault="00A14A90" w:rsidP="00A14A90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Настоящий договор вступает в силу с «01» января 2015 года и действует по «31» декабря 2015 года, а в части расчётов - до полного исполнения Сторонами своих обязательств.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Подписав настоящий Договор, Исполнитель подтверждает, что: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Никакие другие услуги и работы Исполнителя не являются приоритетными в ущерб оказанию услуг по настоящему Договору.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14A90" w:rsidRPr="00A14A90" w:rsidRDefault="00A14A90" w:rsidP="00A14A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14A90" w:rsidRPr="00A14A90" w:rsidRDefault="00A14A90" w:rsidP="00A14A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14A90" w:rsidRPr="00A14A90" w:rsidRDefault="00A14A90" w:rsidP="00A14A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В случае</w:t>
      </w:r>
      <w:proofErr w:type="gram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К настоящему Договору прилагаются и являются его неотъемлемой частью: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Спецификация;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6FAE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</w:t>
      </w:r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Start w:id="3" w:name="_GoBack"/>
      <w:bookmarkEnd w:id="3"/>
      <w:r w:rsidR="00816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взаимодействии ОАО «СН-МНГ» и _______ при выполнении работ (оказании услуг) по сервисному обслуживанию, ремонту станков-качалок и порядку документального оформления операций по перемещению станков-качалок</w:t>
      </w:r>
      <w:r w:rsidR="00816FAE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2)</w:t>
      </w:r>
    </w:p>
    <w:p w:rsid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 w:rsidR="0037477F" w:rsidRPr="00A14A90" w:rsidRDefault="0037477F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4 -    Заявки (форма);</w:t>
      </w:r>
    </w:p>
    <w:p w:rsidR="004810DE" w:rsidRPr="00A14A90" w:rsidRDefault="004810DE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Дефектная ведомость (форма);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контрольно-пропускных пунктах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«Транспортная безопасность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10 -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экстренного медицинского реагирования в Открытом акционерном обществе «</w:t>
      </w:r>
      <w:proofErr w:type="spellStart"/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-Мегионнефтегаз»;</w:t>
      </w:r>
    </w:p>
    <w:p w:rsidR="00A14A90" w:rsidRPr="00A14A90" w:rsidRDefault="00A14A90" w:rsidP="00A14A90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11 - Процедура «Контроль употребления алкоголя, наркотических и токсических веществ»</w:t>
      </w:r>
      <w:r w:rsidR="00A37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379E8" w:rsidRPr="00D36BDF" w:rsidRDefault="00A379E8" w:rsidP="00A379E8">
      <w:pPr>
        <w:spacing w:after="120" w:line="240" w:lineRule="auto"/>
        <w:ind w:left="2127" w:hanging="2127"/>
        <w:rPr>
          <w:rFonts w:ascii="Times New Roman" w:hAnsi="Times New Roman"/>
          <w:sz w:val="24"/>
          <w:szCs w:val="24"/>
        </w:rPr>
      </w:pPr>
      <w:r w:rsidRPr="00D36BDF">
        <w:rPr>
          <w:rFonts w:ascii="Times New Roman" w:hAnsi="Times New Roman"/>
          <w:sz w:val="24"/>
          <w:szCs w:val="24"/>
        </w:rPr>
        <w:t>Приложение №1</w:t>
      </w:r>
      <w:r>
        <w:rPr>
          <w:rFonts w:ascii="Times New Roman" w:hAnsi="Times New Roman"/>
          <w:sz w:val="24"/>
          <w:szCs w:val="24"/>
        </w:rPr>
        <w:t>2</w:t>
      </w:r>
      <w:r w:rsidRPr="00D36BDF">
        <w:rPr>
          <w:rFonts w:ascii="Times New Roman" w:hAnsi="Times New Roman"/>
          <w:sz w:val="24"/>
          <w:szCs w:val="24"/>
        </w:rPr>
        <w:t xml:space="preserve"> </w:t>
      </w:r>
      <w:r w:rsidRPr="00D36BDF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D36BDF">
        <w:rPr>
          <w:rFonts w:ascii="Times New Roman" w:hAnsi="Times New Roman"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D36BD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36BDF">
        <w:rPr>
          <w:rFonts w:ascii="Times New Roman" w:hAnsi="Times New Roman"/>
          <w:sz w:val="24"/>
          <w:szCs w:val="24"/>
        </w:rPr>
        <w:t>-Мегионнефтегаз».</w:t>
      </w:r>
    </w:p>
    <w:p w:rsidR="00A379E8" w:rsidRPr="00D36BDF" w:rsidRDefault="00A379E8" w:rsidP="00A379E8">
      <w:pPr>
        <w:spacing w:after="0" w:line="240" w:lineRule="auto"/>
        <w:ind w:left="2127" w:hanging="2127"/>
        <w:rPr>
          <w:rFonts w:ascii="Times New Roman" w:hAnsi="Times New Roman"/>
          <w:sz w:val="24"/>
          <w:szCs w:val="24"/>
        </w:rPr>
      </w:pPr>
      <w:r w:rsidRPr="00D36BDF">
        <w:rPr>
          <w:rFonts w:ascii="Times New Roman" w:hAnsi="Times New Roman"/>
          <w:sz w:val="24"/>
          <w:szCs w:val="24"/>
        </w:rPr>
        <w:t>Приложение №1</w:t>
      </w:r>
      <w:r>
        <w:rPr>
          <w:rFonts w:ascii="Times New Roman" w:hAnsi="Times New Roman"/>
          <w:sz w:val="24"/>
          <w:szCs w:val="24"/>
        </w:rPr>
        <w:t>3</w:t>
      </w:r>
      <w:r w:rsidRPr="00D36BDF">
        <w:rPr>
          <w:rFonts w:ascii="Times New Roman" w:hAnsi="Times New Roman"/>
          <w:sz w:val="24"/>
          <w:szCs w:val="24"/>
        </w:rPr>
        <w:t xml:space="preserve"> </w:t>
      </w:r>
      <w:r w:rsidRPr="00D36BDF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D36BDF">
        <w:rPr>
          <w:rFonts w:ascii="Times New Roman" w:hAnsi="Times New Roman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</w:p>
    <w:p w:rsidR="00A14A90" w:rsidRPr="00A14A90" w:rsidRDefault="00A14A90" w:rsidP="00A14A90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keepLine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A14A90" w:rsidRPr="00A14A90" w:rsidRDefault="00A14A90" w:rsidP="00A14A90">
      <w:pPr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5F" w:rsidRDefault="00DA4E5F" w:rsidP="00DA4E5F">
      <w:pPr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DA2" w:rsidRPr="00A31D48" w:rsidRDefault="00E77DA2" w:rsidP="00DA4E5F">
      <w:pPr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5F" w:rsidRPr="00A31D48" w:rsidRDefault="00DA4E5F" w:rsidP="00DA4E5F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                                    Заказчик:          </w:t>
      </w:r>
    </w:p>
    <w:p w:rsidR="00DA4E5F" w:rsidRPr="00A31D48" w:rsidRDefault="00DA4E5F" w:rsidP="00DA4E5F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16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DA4E5F" w:rsidRPr="00A31D48" w:rsidTr="007A7881">
        <w:tc>
          <w:tcPr>
            <w:tcW w:w="4808" w:type="dxa"/>
          </w:tcPr>
          <w:p w:rsidR="00DA4E5F" w:rsidRPr="00A31D48" w:rsidRDefault="00DA4E5F" w:rsidP="007A7881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DA4E5F" w:rsidRPr="00A31D48" w:rsidRDefault="00DA4E5F" w:rsidP="007A7881">
            <w:pPr>
              <w:snapToGri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  <w:tc>
          <w:tcPr>
            <w:tcW w:w="4808" w:type="dxa"/>
          </w:tcPr>
          <w:p w:rsidR="00DA4E5F" w:rsidRPr="00A31D48" w:rsidRDefault="00DA4E5F" w:rsidP="007A788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DA4E5F" w:rsidRPr="00A31D48" w:rsidTr="007A7881"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5F" w:rsidRPr="00A31D48" w:rsidTr="007A7881">
        <w:tc>
          <w:tcPr>
            <w:tcW w:w="4808" w:type="dxa"/>
          </w:tcPr>
          <w:p w:rsidR="00DA4E5F" w:rsidRPr="00A31D48" w:rsidRDefault="007F2F83" w:rsidP="007A788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08" w:type="dxa"/>
          </w:tcPr>
          <w:p w:rsidR="00DA4E5F" w:rsidRPr="00A31D48" w:rsidRDefault="007F2F83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DA4E5F" w:rsidRPr="00A31D48" w:rsidTr="007A7881"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4E5F" w:rsidRPr="00A31D48" w:rsidTr="007A7881"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8" w:type="dxa"/>
          </w:tcPr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DA4E5F" w:rsidRPr="004B3C29" w:rsidRDefault="00DA4E5F" w:rsidP="007A78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DA4E5F" w:rsidRPr="00A31D48" w:rsidTr="007A7881"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4E5F" w:rsidRPr="00A31D48" w:rsidRDefault="00DA4E5F" w:rsidP="007A788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8" w:type="dxa"/>
          </w:tcPr>
          <w:p w:rsidR="00DA4E5F" w:rsidRPr="00A31D48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4E5F" w:rsidRPr="000D41FC" w:rsidRDefault="00DA4E5F" w:rsidP="007A7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ФИО.)</w:t>
            </w:r>
          </w:p>
        </w:tc>
      </w:tr>
    </w:tbl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5F" w:rsidRDefault="00DA4E5F" w:rsidP="00DA4E5F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Приложение № 4</w:t>
      </w:r>
    </w:p>
    <w:p w:rsidR="00DA4E5F" w:rsidRDefault="00DA4E5F" w:rsidP="00DA4E5F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к договору № </w:t>
      </w:r>
      <w:r w:rsidR="00C621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</w:t>
      </w:r>
    </w:p>
    <w:p w:rsidR="00A14A90" w:rsidRPr="00A14A90" w:rsidRDefault="00DA4E5F" w:rsidP="00DA4E5F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______________201__ г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</w:t>
      </w:r>
      <w:r w:rsidR="00A14A90"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14A90" w:rsidRPr="00A14A90" w:rsidRDefault="00A14A90" w:rsidP="00A14A90">
      <w:pPr>
        <w:tabs>
          <w:tab w:val="left" w:pos="3009"/>
          <w:tab w:val="left" w:pos="4029"/>
          <w:tab w:val="left" w:pos="5689"/>
          <w:tab w:val="left" w:pos="6649"/>
        </w:tabs>
        <w:spacing w:after="0"/>
        <w:ind w:left="94" w:firstLine="63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(форма)</w:t>
      </w:r>
    </w:p>
    <w:p w:rsidR="00A14A90" w:rsidRPr="00A14A90" w:rsidRDefault="00A14A90" w:rsidP="00A14A90">
      <w:pPr>
        <w:tabs>
          <w:tab w:val="left" w:pos="3009"/>
          <w:tab w:val="left" w:pos="4029"/>
          <w:tab w:val="left" w:pos="5689"/>
          <w:tab w:val="left" w:pos="6649"/>
        </w:tabs>
        <w:spacing w:after="0"/>
        <w:rPr>
          <w:rFonts w:ascii="Calibri" w:eastAsia="Times New Roman" w:hAnsi="Calibri" w:cs="Times New Roman"/>
          <w:lang w:eastAsia="ru-RU"/>
        </w:rPr>
      </w:pPr>
    </w:p>
    <w:p w:rsidR="00A14A90" w:rsidRPr="00A14A90" w:rsidRDefault="00A14A90" w:rsidP="00A14A90">
      <w:pPr>
        <w:tabs>
          <w:tab w:val="left" w:pos="3009"/>
          <w:tab w:val="left" w:pos="4029"/>
          <w:tab w:val="left" w:pos="5689"/>
          <w:tab w:val="left" w:pos="6649"/>
        </w:tabs>
        <w:spacing w:after="0"/>
        <w:rPr>
          <w:rFonts w:ascii="Calibri" w:eastAsia="Times New Roman" w:hAnsi="Calibri" w:cs="Times New Roman"/>
          <w:lang w:eastAsia="ru-RU"/>
        </w:rPr>
      </w:pPr>
    </w:p>
    <w:p w:rsidR="00A14A90" w:rsidRPr="00A14A90" w:rsidRDefault="00A14A90" w:rsidP="00A14A90">
      <w:pPr>
        <w:tabs>
          <w:tab w:val="left" w:pos="1794"/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A14A90" w:rsidRPr="00A14A90" w:rsidRDefault="00A14A90" w:rsidP="00A14A90">
      <w:pPr>
        <w:tabs>
          <w:tab w:val="left" w:pos="1794"/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14A90" w:rsidRPr="00A14A90" w:rsidRDefault="00A14A90" w:rsidP="00A14A90">
      <w:pPr>
        <w:shd w:val="clear" w:color="auto" w:fill="FFFFFF"/>
        <w:tabs>
          <w:tab w:val="left" w:pos="2554"/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A14A90" w:rsidRPr="00A14A90" w:rsidRDefault="00A14A90" w:rsidP="00A14A90">
      <w:pPr>
        <w:tabs>
          <w:tab w:val="left" w:pos="4299"/>
          <w:tab w:val="left" w:pos="5779"/>
          <w:tab w:val="left" w:pos="6739"/>
          <w:tab w:val="left" w:pos="8263"/>
          <w:tab w:val="left" w:pos="9223"/>
          <w:tab w:val="left" w:pos="10183"/>
          <w:tab w:val="left" w:pos="11616"/>
          <w:tab w:val="left" w:pos="13075"/>
        </w:tabs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4A90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уполномоченного лица)</w:t>
      </w: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14A90" w:rsidRPr="00A14A90" w:rsidRDefault="00A14A90" w:rsidP="00A14A9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</w:t>
      </w:r>
    </w:p>
    <w:p w:rsidR="00A14A90" w:rsidRPr="00A14A90" w:rsidRDefault="00816FAE" w:rsidP="00A14A9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45.15pt;margin-top:47.1pt;width:511.15pt;height:122pt;rotation:20402287fd;z-index:-251656192" adj="10462">
            <v:shadow color="#868686"/>
            <v:textpath style="font-family:&quot;Times New Roman&quot;;font-size:48pt;v-text-kern:t" trim="t" fitpath="t" string="ФОРМА"/>
          </v:shape>
        </w:pict>
      </w:r>
      <w:r w:rsidR="00A14A90"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сервисное обслуживание станков-качалок</w:t>
      </w:r>
    </w:p>
    <w:p w:rsidR="00A14A90" w:rsidRPr="00A14A90" w:rsidRDefault="00A14A90" w:rsidP="00A14A9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 20 ___ г.</w:t>
      </w: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9" w:type="dxa"/>
        <w:tblInd w:w="94" w:type="dxa"/>
        <w:tblLook w:val="0000" w:firstRow="0" w:lastRow="0" w:firstColumn="0" w:lastColumn="0" w:noHBand="0" w:noVBand="0"/>
      </w:tblPr>
      <w:tblGrid>
        <w:gridCol w:w="635"/>
        <w:gridCol w:w="1420"/>
        <w:gridCol w:w="860"/>
        <w:gridCol w:w="1020"/>
        <w:gridCol w:w="3359"/>
        <w:gridCol w:w="2465"/>
      </w:tblGrid>
      <w:tr w:rsidR="00A14A90" w:rsidRPr="00A14A90" w:rsidTr="00A14A90">
        <w:trPr>
          <w:trHeight w:val="24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М/</w:t>
            </w:r>
            <w:proofErr w:type="gramStart"/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куста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скв</w:t>
            </w:r>
            <w:proofErr w:type="spellEnd"/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услуг</w:t>
            </w: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A90" w:rsidRPr="00A14A90" w:rsidRDefault="00A14A90" w:rsidP="00A14A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A90" w:rsidRPr="00A14A90" w:rsidTr="00397381">
        <w:trPr>
          <w:trHeight w:val="24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A90" w:rsidRPr="00A14A90" w:rsidRDefault="00A14A90" w:rsidP="00A14A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- срок оказания услуг по заявке – в период с 1-го по последний день указанного месяца.</w:t>
      </w: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Times New Roman" w:eastAsia="Times New Roman" w:hAnsi="Times New Roman" w:cs="Times New Roman"/>
          <w:lang w:eastAsia="ru-RU"/>
        </w:rPr>
      </w:pPr>
    </w:p>
    <w:p w:rsidR="00A14A90" w:rsidRPr="00A14A90" w:rsidRDefault="00A14A90" w:rsidP="00A14A90">
      <w:pPr>
        <w:tabs>
          <w:tab w:val="left" w:pos="729"/>
          <w:tab w:val="left" w:pos="4029"/>
          <w:tab w:val="left" w:pos="568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A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Начальник или старший механик НГП- </w:t>
      </w:r>
      <w:r w:rsidRPr="003973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A14A90" w:rsidRPr="00A14A90" w:rsidRDefault="00A14A90" w:rsidP="00A14A90">
      <w:pPr>
        <w:tabs>
          <w:tab w:val="left" w:pos="729"/>
          <w:tab w:val="left" w:pos="2149"/>
          <w:tab w:val="left" w:pos="3009"/>
          <w:tab w:val="left" w:pos="4029"/>
          <w:tab w:val="left" w:pos="5689"/>
          <w:tab w:val="left" w:pos="6649"/>
        </w:tabs>
        <w:spacing w:after="0"/>
        <w:rPr>
          <w:rFonts w:ascii="Calibri" w:eastAsia="Times New Roman" w:hAnsi="Calibri" w:cs="Times New Roman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21EB" w:rsidRPr="00637F19" w:rsidRDefault="00C621EB" w:rsidP="00C621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1EB" w:rsidRPr="00637F19" w:rsidRDefault="00C621EB" w:rsidP="00C621E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</w:t>
      </w:r>
    </w:p>
    <w:tbl>
      <w:tblPr>
        <w:tblW w:w="9616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C621EB" w:rsidRPr="00637F19" w:rsidTr="007A7881">
        <w:tc>
          <w:tcPr>
            <w:tcW w:w="4808" w:type="dxa"/>
          </w:tcPr>
          <w:p w:rsidR="00C621EB" w:rsidRPr="00637F19" w:rsidRDefault="00C621EB" w:rsidP="00C621EB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C621EB" w:rsidRPr="00637F19" w:rsidRDefault="00C621EB" w:rsidP="007A7881">
            <w:pPr>
              <w:snapToGri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(наименование Исполнителя)</w:t>
            </w:r>
          </w:p>
        </w:tc>
        <w:tc>
          <w:tcPr>
            <w:tcW w:w="4808" w:type="dxa"/>
          </w:tcPr>
          <w:p w:rsidR="00C621EB" w:rsidRPr="00637F19" w:rsidRDefault="00C621EB" w:rsidP="007A7881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48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C621EB" w:rsidRPr="00637F19" w:rsidTr="007A7881">
        <w:tc>
          <w:tcPr>
            <w:tcW w:w="4808" w:type="dxa"/>
          </w:tcPr>
          <w:p w:rsidR="00C621EB" w:rsidRPr="00637F19" w:rsidRDefault="00C621EB" w:rsidP="007A788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08" w:type="dxa"/>
          </w:tcPr>
          <w:p w:rsidR="00C621EB" w:rsidRPr="00637F19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8D3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C621EB" w:rsidRPr="00637F19" w:rsidTr="007A7881">
        <w:tc>
          <w:tcPr>
            <w:tcW w:w="4808" w:type="dxa"/>
          </w:tcPr>
          <w:p w:rsidR="00C621EB" w:rsidRPr="00637F19" w:rsidRDefault="00C621EB" w:rsidP="007A7881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21EB" w:rsidRPr="00637F19" w:rsidRDefault="00C621EB" w:rsidP="007A7881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  <w:tc>
          <w:tcPr>
            <w:tcW w:w="4808" w:type="dxa"/>
          </w:tcPr>
          <w:p w:rsidR="00C621EB" w:rsidRPr="00637F19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21EB" w:rsidRPr="00637F19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8D3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(ФИО.)</w:t>
            </w:r>
          </w:p>
        </w:tc>
      </w:tr>
    </w:tbl>
    <w:p w:rsidR="00A14A90" w:rsidRDefault="00A14A90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381" w:rsidRDefault="00397381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381" w:rsidRDefault="00397381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381" w:rsidRPr="00A14A90" w:rsidRDefault="00397381" w:rsidP="00A1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A14A90" w:rsidRPr="00A14A90" w:rsidTr="00A14A90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4A90" w:rsidRPr="00A14A90" w:rsidRDefault="00A14A90" w:rsidP="00A14A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5</w:t>
            </w:r>
          </w:p>
        </w:tc>
      </w:tr>
      <w:tr w:rsidR="00A14A90" w:rsidRPr="00A14A90" w:rsidTr="00A14A90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4A90" w:rsidRPr="00A14A90" w:rsidRDefault="00816FAE" w:rsidP="00DA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noProof/>
                <w:sz w:val="20"/>
                <w:lang w:eastAsia="ru-RU"/>
              </w:rPr>
              <w:pict>
                <v:shape id="_x0000_s1026" type="#_x0000_t136" style="position:absolute;left:0;text-align:left;margin-left:-279.45pt;margin-top:201.6pt;width:511.15pt;height:122pt;rotation:20402287fd;z-index:-251657216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DA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C62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DA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 </w:t>
            </w:r>
            <w:r w:rsidR="00C62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DA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14A90" w:rsidRPr="00A14A9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4A90" w:rsidRPr="00A14A90" w:rsidTr="00A14A90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4A90" w:rsidRPr="00A14A90" w:rsidRDefault="00A14A90" w:rsidP="00A1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______________201__ г.</w:t>
            </w:r>
          </w:p>
          <w:p w:rsidR="00A14A90" w:rsidRPr="00A14A90" w:rsidRDefault="00A14A90" w:rsidP="00A1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A14A90" w:rsidRPr="00A14A90" w:rsidRDefault="00A14A90" w:rsidP="00A14A90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A14A90" w:rsidRPr="00A14A90" w:rsidRDefault="00A14A90" w:rsidP="00A14A90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A14A90" w:rsidRPr="00A14A90" w:rsidRDefault="00A14A90" w:rsidP="00A14A90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  <w:r w:rsidRPr="00A14A90"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  <w:t>ДЕФЕКТНАЯ ВЕДОМОСТЬ</w:t>
      </w:r>
    </w:p>
    <w:p w:rsidR="00A14A90" w:rsidRPr="00A14A90" w:rsidRDefault="00A14A90" w:rsidP="00A14A90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A14A90" w:rsidRPr="00A14A90" w:rsidTr="00397381">
        <w:tc>
          <w:tcPr>
            <w:tcW w:w="2088" w:type="dxa"/>
          </w:tcPr>
          <w:p w:rsidR="00A14A90" w:rsidRPr="00A14A90" w:rsidRDefault="00A14A90" w:rsidP="00A14A90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26" w:type="dxa"/>
            <w:shd w:val="clear" w:color="auto" w:fill="auto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</w:t>
            </w:r>
          </w:p>
        </w:tc>
      </w:tr>
      <w:tr w:rsidR="00A14A90" w:rsidRPr="00A14A90" w:rsidTr="00A14A90">
        <w:tc>
          <w:tcPr>
            <w:tcW w:w="2088" w:type="dxa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6" w:type="dxa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(Объект)</w:t>
            </w:r>
          </w:p>
        </w:tc>
      </w:tr>
    </w:tbl>
    <w:p w:rsidR="00A14A90" w:rsidRPr="00A14A90" w:rsidRDefault="00A14A90" w:rsidP="00A14A90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A14A90" w:rsidRPr="00A14A90" w:rsidTr="00397381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  <w:r w:rsidRPr="0039738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Заказчика</w:t>
            </w:r>
          </w:p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A90" w:rsidRPr="00A14A90" w:rsidTr="00A14A90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</w:p>
          <w:p w:rsidR="00A14A90" w:rsidRPr="00A14A90" w:rsidRDefault="00A14A90" w:rsidP="00A14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Исполнителя</w:t>
            </w:r>
          </w:p>
          <w:p w:rsidR="00A14A90" w:rsidRPr="00A14A90" w:rsidRDefault="00A14A90" w:rsidP="00A14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  <w:p w:rsidR="00A14A90" w:rsidRPr="00A14A90" w:rsidRDefault="00A14A90" w:rsidP="00A14A9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  <w:p w:rsidR="00A14A90" w:rsidRPr="00A14A90" w:rsidRDefault="00A14A90" w:rsidP="00A14A9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</w:p>
        </w:tc>
      </w:tr>
      <w:tr w:rsidR="00A14A90" w:rsidRPr="00A14A90" w:rsidTr="00A14A90">
        <w:trPr>
          <w:cantSplit/>
        </w:trPr>
        <w:tc>
          <w:tcPr>
            <w:tcW w:w="3369" w:type="dxa"/>
            <w:vMerge/>
            <w:shd w:val="clear" w:color="auto" w:fill="FFFFFF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A14A90" w:rsidRPr="00A14A90" w:rsidTr="00A14A90">
        <w:trPr>
          <w:cantSplit/>
        </w:trPr>
        <w:tc>
          <w:tcPr>
            <w:tcW w:w="3369" w:type="dxa"/>
            <w:vMerge/>
            <w:shd w:val="clear" w:color="auto" w:fill="FFFFFF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</w:tc>
      </w:tr>
      <w:tr w:rsidR="00A14A90" w:rsidRPr="00A14A90" w:rsidTr="00A14A90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14A90" w:rsidRPr="00A14A90" w:rsidTr="00A14A90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A14A90" w:rsidRPr="00A14A90" w:rsidRDefault="00A14A90" w:rsidP="00A14A90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A14A90" w:rsidRPr="00A14A90" w:rsidRDefault="00A14A90" w:rsidP="00A14A90">
      <w:pPr>
        <w:spacing w:after="0" w:line="240" w:lineRule="auto"/>
        <w:ind w:left="283"/>
        <w:rPr>
          <w:rFonts w:ascii="Calibri" w:eastAsia="Times New Roman" w:hAnsi="Calibri" w:cs="Times New Roman"/>
          <w:lang w:eastAsia="ru-RU"/>
        </w:rPr>
      </w:pPr>
      <w:r w:rsidRPr="00A14A90">
        <w:rPr>
          <w:rFonts w:ascii="Calibri" w:eastAsia="Times New Roman" w:hAnsi="Calibri" w:cs="Times New Roman"/>
          <w:lang w:eastAsia="ru-RU"/>
        </w:rPr>
        <w:t xml:space="preserve">1. </w:t>
      </w:r>
      <w:proofErr w:type="gramStart"/>
      <w:r w:rsidRPr="00A14A90">
        <w:rPr>
          <w:rFonts w:ascii="Calibri" w:eastAsia="Times New Roman" w:hAnsi="Calibri" w:cs="Times New Roman"/>
          <w:lang w:eastAsia="ru-RU"/>
        </w:rPr>
        <w:t>Произвели осмотр оборудования установили</w:t>
      </w:r>
      <w:proofErr w:type="gramEnd"/>
      <w:r w:rsidRPr="00A14A90">
        <w:rPr>
          <w:rFonts w:ascii="Calibri" w:eastAsia="Times New Roman" w:hAnsi="Calibri" w:cs="Times New Roman"/>
          <w:lang w:eastAsia="ru-RU"/>
        </w:rPr>
        <w:t>:</w:t>
      </w:r>
    </w:p>
    <w:p w:rsidR="00A14A90" w:rsidRPr="00A14A90" w:rsidRDefault="00A14A90" w:rsidP="00A14A90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A14A90">
        <w:rPr>
          <w:rFonts w:ascii="Calibri" w:eastAsia="Times New Roman" w:hAnsi="Calibri" w:cs="Times New Roman"/>
          <w:lang w:eastAsia="ru-RU"/>
        </w:rPr>
        <w:tab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118"/>
        <w:gridCol w:w="2410"/>
        <w:gridCol w:w="2551"/>
      </w:tblGrid>
      <w:tr w:rsidR="00A14A90" w:rsidRPr="00A14A90" w:rsidTr="00A14A90"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№</w:t>
            </w:r>
          </w:p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gramStart"/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п</w:t>
            </w:r>
            <w:proofErr w:type="gramEnd"/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Заключение</w:t>
            </w:r>
          </w:p>
        </w:tc>
        <w:tc>
          <w:tcPr>
            <w:tcW w:w="2551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sz w:val="24"/>
                <w:lang w:eastAsia="ru-RU"/>
              </w:rPr>
              <w:t>Способ устранения</w:t>
            </w:r>
          </w:p>
        </w:tc>
      </w:tr>
      <w:tr w:rsidR="00A14A90" w:rsidRPr="00A14A90" w:rsidTr="00397381"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4A90" w:rsidRPr="00A14A90" w:rsidTr="00397381"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4A90" w:rsidRPr="00A14A90" w:rsidTr="00397381"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4A90" w:rsidRPr="00A14A90" w:rsidTr="00397381"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4A90" w:rsidRPr="00A14A90" w:rsidTr="007457F4">
        <w:trPr>
          <w:trHeight w:val="261"/>
        </w:trPr>
        <w:tc>
          <w:tcPr>
            <w:tcW w:w="852" w:type="dxa"/>
            <w:vAlign w:val="center"/>
          </w:tcPr>
          <w:p w:rsidR="00A14A90" w:rsidRPr="00A14A90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14A90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A14A90" w:rsidRPr="00397381" w:rsidRDefault="00A14A90" w:rsidP="00A14A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14A90" w:rsidRPr="00A14A90" w:rsidRDefault="00A14A90" w:rsidP="00A14A90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A14A90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Подписи: </w:t>
      </w:r>
    </w:p>
    <w:p w:rsidR="00A14A90" w:rsidRPr="00A14A90" w:rsidRDefault="00A14A90" w:rsidP="00A14A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A14A9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Представитель Заказчика ОАО «СН-МНГ»  </w:t>
      </w:r>
      <w:r w:rsidRPr="00A14A9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___________    ________________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</w:pPr>
      <w:r w:rsidRPr="00A14A90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 xml:space="preserve">                                                                                            </w:t>
      </w:r>
      <w:r w:rsidRPr="00A14A90"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  <w:t>(подпись)                   (расшифровка подписи)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A14A9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Представитель Исполнителя                           </w:t>
      </w:r>
      <w:r w:rsidRPr="00A14A9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___________    ________________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A14A90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 xml:space="preserve">                                                                                             </w:t>
      </w:r>
      <w:r w:rsidRPr="00A14A90"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  <w:t>(подпись)                 (расшифровка подписи)</w:t>
      </w: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4A90" w:rsidRPr="00A14A90" w:rsidRDefault="00A14A90" w:rsidP="00A14A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1EB" w:rsidRPr="00637F19" w:rsidRDefault="00C621EB" w:rsidP="00C621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1EB" w:rsidRPr="00637F19" w:rsidRDefault="00C621EB" w:rsidP="00C621E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3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</w:t>
      </w:r>
    </w:p>
    <w:tbl>
      <w:tblPr>
        <w:tblW w:w="9616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C621EB" w:rsidRPr="00637F19" w:rsidTr="007A7881">
        <w:tc>
          <w:tcPr>
            <w:tcW w:w="4808" w:type="dxa"/>
          </w:tcPr>
          <w:p w:rsidR="00C621EB" w:rsidRPr="00637F19" w:rsidRDefault="00C621EB" w:rsidP="007A7881">
            <w:pPr>
              <w:snapToGrid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C621EB" w:rsidRPr="00637F19" w:rsidRDefault="00C621EB" w:rsidP="007A7881">
            <w:pPr>
              <w:snapToGri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7F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(наименование Исполнителя)</w:t>
            </w:r>
          </w:p>
        </w:tc>
        <w:tc>
          <w:tcPr>
            <w:tcW w:w="4808" w:type="dxa"/>
          </w:tcPr>
          <w:p w:rsidR="00C621EB" w:rsidRPr="00637F19" w:rsidRDefault="00C621EB" w:rsidP="007A7881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3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C621EB" w:rsidRPr="00637F19" w:rsidTr="007A7881">
        <w:tc>
          <w:tcPr>
            <w:tcW w:w="4808" w:type="dxa"/>
          </w:tcPr>
          <w:p w:rsidR="00C621EB" w:rsidRPr="00637F19" w:rsidRDefault="00C621EB" w:rsidP="007A788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08" w:type="dxa"/>
          </w:tcPr>
          <w:p w:rsidR="00C621EB" w:rsidRPr="00E76CE5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66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6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C621EB" w:rsidRPr="00637F19" w:rsidTr="007A7881">
        <w:tc>
          <w:tcPr>
            <w:tcW w:w="4808" w:type="dxa"/>
          </w:tcPr>
          <w:p w:rsidR="00C621EB" w:rsidRPr="00637F19" w:rsidRDefault="00C621EB" w:rsidP="007A7881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21EB" w:rsidRPr="00637F19" w:rsidRDefault="00E76CE5" w:rsidP="00E76CE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C621EB"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  <w:tc>
          <w:tcPr>
            <w:tcW w:w="4808" w:type="dxa"/>
          </w:tcPr>
          <w:p w:rsidR="00C621EB" w:rsidRPr="00637F19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21EB" w:rsidRPr="00637F19" w:rsidRDefault="00C621EB" w:rsidP="007A788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1663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637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(ФИО.)</w:t>
            </w:r>
          </w:p>
        </w:tc>
      </w:tr>
    </w:tbl>
    <w:p w:rsidR="00C621EB" w:rsidRPr="00637F19" w:rsidRDefault="00C621EB" w:rsidP="00C621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621EB" w:rsidRPr="00637F19" w:rsidSect="00397381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7796283"/>
    <w:multiLevelType w:val="hybridMultilevel"/>
    <w:tmpl w:val="2810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F7E50EA"/>
    <w:multiLevelType w:val="multilevel"/>
    <w:tmpl w:val="BD98F8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D8E6855"/>
    <w:multiLevelType w:val="multilevel"/>
    <w:tmpl w:val="1BDE6E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7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F4F1799"/>
    <w:multiLevelType w:val="hybridMultilevel"/>
    <w:tmpl w:val="F21A56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5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0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46"/>
  </w:num>
  <w:num w:numId="7">
    <w:abstractNumId w:val="29"/>
  </w:num>
  <w:num w:numId="8">
    <w:abstractNumId w:val="3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33"/>
  </w:num>
  <w:num w:numId="21">
    <w:abstractNumId w:val="13"/>
  </w:num>
  <w:num w:numId="22">
    <w:abstractNumId w:val="34"/>
  </w:num>
  <w:num w:numId="23">
    <w:abstractNumId w:val="16"/>
  </w:num>
  <w:num w:numId="24">
    <w:abstractNumId w:val="42"/>
  </w:num>
  <w:num w:numId="25">
    <w:abstractNumId w:val="25"/>
  </w:num>
  <w:num w:numId="26">
    <w:abstractNumId w:val="30"/>
  </w:num>
  <w:num w:numId="27">
    <w:abstractNumId w:val="26"/>
  </w:num>
  <w:num w:numId="28">
    <w:abstractNumId w:val="22"/>
  </w:num>
  <w:num w:numId="29">
    <w:abstractNumId w:val="35"/>
  </w:num>
  <w:num w:numId="30">
    <w:abstractNumId w:val="43"/>
  </w:num>
  <w:num w:numId="31">
    <w:abstractNumId w:val="19"/>
  </w:num>
  <w:num w:numId="32">
    <w:abstractNumId w:val="44"/>
  </w:num>
  <w:num w:numId="33">
    <w:abstractNumId w:val="45"/>
  </w:num>
  <w:num w:numId="34">
    <w:abstractNumId w:val="36"/>
  </w:num>
  <w:num w:numId="35">
    <w:abstractNumId w:val="41"/>
  </w:num>
  <w:num w:numId="36">
    <w:abstractNumId w:val="24"/>
  </w:num>
  <w:num w:numId="37">
    <w:abstractNumId w:val="18"/>
  </w:num>
  <w:num w:numId="38">
    <w:abstractNumId w:val="27"/>
  </w:num>
  <w:num w:numId="39">
    <w:abstractNumId w:val="37"/>
  </w:num>
  <w:num w:numId="40">
    <w:abstractNumId w:val="15"/>
  </w:num>
  <w:num w:numId="41">
    <w:abstractNumId w:val="28"/>
  </w:num>
  <w:num w:numId="42">
    <w:abstractNumId w:val="47"/>
  </w:num>
  <w:num w:numId="43">
    <w:abstractNumId w:val="38"/>
  </w:num>
  <w:num w:numId="44">
    <w:abstractNumId w:val="14"/>
  </w:num>
  <w:num w:numId="45">
    <w:abstractNumId w:val="20"/>
  </w:num>
  <w:num w:numId="46">
    <w:abstractNumId w:val="31"/>
  </w:num>
  <w:num w:numId="47">
    <w:abstractNumId w:val="23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0A"/>
    <w:rsid w:val="00021312"/>
    <w:rsid w:val="000360F8"/>
    <w:rsid w:val="00076951"/>
    <w:rsid w:val="000F7B74"/>
    <w:rsid w:val="00166386"/>
    <w:rsid w:val="001B5587"/>
    <w:rsid w:val="001B78F4"/>
    <w:rsid w:val="002B09F3"/>
    <w:rsid w:val="002B67E7"/>
    <w:rsid w:val="0037477F"/>
    <w:rsid w:val="00397381"/>
    <w:rsid w:val="00451779"/>
    <w:rsid w:val="00453719"/>
    <w:rsid w:val="004810DE"/>
    <w:rsid w:val="00525DE5"/>
    <w:rsid w:val="00573DE2"/>
    <w:rsid w:val="00633A43"/>
    <w:rsid w:val="00677B77"/>
    <w:rsid w:val="00694E0A"/>
    <w:rsid w:val="007457F4"/>
    <w:rsid w:val="007F2F83"/>
    <w:rsid w:val="007F39C1"/>
    <w:rsid w:val="00816FAE"/>
    <w:rsid w:val="008D3E02"/>
    <w:rsid w:val="008E0C01"/>
    <w:rsid w:val="00A05BBD"/>
    <w:rsid w:val="00A14A90"/>
    <w:rsid w:val="00A379E8"/>
    <w:rsid w:val="00C55923"/>
    <w:rsid w:val="00C621EB"/>
    <w:rsid w:val="00CF4AA8"/>
    <w:rsid w:val="00D51455"/>
    <w:rsid w:val="00DA4E5F"/>
    <w:rsid w:val="00E76CE5"/>
    <w:rsid w:val="00E77DA2"/>
    <w:rsid w:val="00F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A9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14A90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A14A90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A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14A9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A14A90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A14A90"/>
  </w:style>
  <w:style w:type="paragraph" w:styleId="a3">
    <w:name w:val="Balloon Text"/>
    <w:basedOn w:val="a"/>
    <w:link w:val="a4"/>
    <w:uiPriority w:val="99"/>
    <w:semiHidden/>
    <w:unhideWhenUsed/>
    <w:rsid w:val="00A14A9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14A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14A9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14A9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A14A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14A9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14A90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14A9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14A9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A14A9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14A90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14A90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A14A9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A14A9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14A90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14A9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A14A90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14A90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14A90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4A90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A14A90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A14A90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A14A90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A14A90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A14A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Title"/>
    <w:basedOn w:val="a"/>
    <w:link w:val="af1"/>
    <w:qFormat/>
    <w:rsid w:val="00A14A90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1">
    <w:name w:val="Название Знак"/>
    <w:basedOn w:val="a0"/>
    <w:link w:val="af0"/>
    <w:rsid w:val="00A14A9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2"/>
    <w:uiPriority w:val="99"/>
    <w:locked/>
    <w:rsid w:val="00A14A9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A14A90"/>
    <w:pPr>
      <w:shd w:val="clear" w:color="auto" w:fill="FFFFFF"/>
      <w:spacing w:before="180" w:after="0" w:line="259" w:lineRule="exact"/>
      <w:ind w:hanging="360"/>
    </w:pPr>
    <w:rPr>
      <w:rFonts w:ascii="Times New Roman" w:hAnsi="Times New Roman"/>
      <w:sz w:val="21"/>
      <w:szCs w:val="21"/>
    </w:rPr>
  </w:style>
  <w:style w:type="character" w:customStyle="1" w:styleId="11pt">
    <w:name w:val="Основной текст + 11 pt"/>
    <w:basedOn w:val="af2"/>
    <w:uiPriority w:val="99"/>
    <w:rsid w:val="00A14A90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A14A90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A14A90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A14A9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0"/>
    <w:link w:val="af4"/>
    <w:rsid w:val="00A14A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A14A9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6">
    <w:name w:val="Strong"/>
    <w:basedOn w:val="a0"/>
    <w:qFormat/>
    <w:rsid w:val="00A14A90"/>
    <w:rPr>
      <w:b/>
      <w:bCs/>
    </w:rPr>
  </w:style>
  <w:style w:type="paragraph" w:customStyle="1" w:styleId="Style3">
    <w:name w:val="Style3"/>
    <w:basedOn w:val="a"/>
    <w:uiPriority w:val="99"/>
    <w:rsid w:val="00A379E8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A9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14A90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A14A90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A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14A9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A14A90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A14A90"/>
  </w:style>
  <w:style w:type="paragraph" w:styleId="a3">
    <w:name w:val="Balloon Text"/>
    <w:basedOn w:val="a"/>
    <w:link w:val="a4"/>
    <w:uiPriority w:val="99"/>
    <w:semiHidden/>
    <w:unhideWhenUsed/>
    <w:rsid w:val="00A14A9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14A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14A9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14A9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A14A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14A9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14A90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14A9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14A9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A14A9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14A90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14A90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A14A9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A14A9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14A90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14A9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A14A90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14A90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14A90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4A90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A14A90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A14A90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A14A90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A14A90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A14A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Title"/>
    <w:basedOn w:val="a"/>
    <w:link w:val="af1"/>
    <w:qFormat/>
    <w:rsid w:val="00A14A90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1">
    <w:name w:val="Название Знак"/>
    <w:basedOn w:val="a0"/>
    <w:link w:val="af0"/>
    <w:rsid w:val="00A14A9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2"/>
    <w:uiPriority w:val="99"/>
    <w:locked/>
    <w:rsid w:val="00A14A9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A14A90"/>
    <w:pPr>
      <w:shd w:val="clear" w:color="auto" w:fill="FFFFFF"/>
      <w:spacing w:before="180" w:after="0" w:line="259" w:lineRule="exact"/>
      <w:ind w:hanging="360"/>
    </w:pPr>
    <w:rPr>
      <w:rFonts w:ascii="Times New Roman" w:hAnsi="Times New Roman"/>
      <w:sz w:val="21"/>
      <w:szCs w:val="21"/>
    </w:rPr>
  </w:style>
  <w:style w:type="character" w:customStyle="1" w:styleId="11pt">
    <w:name w:val="Основной текст + 11 pt"/>
    <w:basedOn w:val="af2"/>
    <w:uiPriority w:val="99"/>
    <w:rsid w:val="00A14A90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A14A90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A14A90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A14A9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0"/>
    <w:link w:val="af4"/>
    <w:rsid w:val="00A14A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A14A9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6">
    <w:name w:val="Strong"/>
    <w:basedOn w:val="a0"/>
    <w:qFormat/>
    <w:rsid w:val="00A14A90"/>
    <w:rPr>
      <w:b/>
      <w:bCs/>
    </w:rPr>
  </w:style>
  <w:style w:type="paragraph" w:customStyle="1" w:styleId="Style3">
    <w:name w:val="Style3"/>
    <w:basedOn w:val="a"/>
    <w:uiPriority w:val="99"/>
    <w:rsid w:val="00A379E8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4621-675C-43B0-958A-D81B25DA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21</Pages>
  <Words>10637</Words>
  <Characters>60634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Галимяновна Юсупова</dc:creator>
  <cp:keywords/>
  <dc:description/>
  <cp:lastModifiedBy>Наталья Юрьевна Штокина</cp:lastModifiedBy>
  <cp:revision>10</cp:revision>
  <cp:lastPrinted>2014-09-01T10:09:00Z</cp:lastPrinted>
  <dcterms:created xsi:type="dcterms:W3CDTF">2014-08-21T07:24:00Z</dcterms:created>
  <dcterms:modified xsi:type="dcterms:W3CDTF">2014-09-01T10:11:00Z</dcterms:modified>
</cp:coreProperties>
</file>