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B37879">
              <w:rPr>
                <w:rFonts w:ascii="Times New Roman" w:hAnsi="Times New Roman"/>
                <w:sz w:val="24"/>
                <w:lang w:val="en-US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B3787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B37879">
              <w:rPr>
                <w:rFonts w:ascii="Times New Roman" w:hAnsi="Times New Roman"/>
                <w:sz w:val="24"/>
                <w:lang w:val="en-US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B37879">
              <w:rPr>
                <w:rFonts w:ascii="Times New Roman" w:hAnsi="Times New Roman"/>
                <w:sz w:val="24"/>
              </w:rPr>
              <w:t>августа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3787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B96C8D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№441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>«</w:t>
      </w:r>
      <w:r w:rsidR="00B37879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» </w:t>
      </w:r>
      <w:r w:rsidR="00B37879">
        <w:rPr>
          <w:rFonts w:ascii="Times New Roman" w:hAnsi="Times New Roman"/>
          <w:b/>
          <w:color w:val="0000FF"/>
          <w:u w:val="single"/>
        </w:rPr>
        <w:t xml:space="preserve">августа 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 результатам рассмотрения предложений ОАО </w:t>
      </w:r>
      <w:bookmarkStart w:id="0" w:name="_GoBack"/>
      <w:bookmarkEnd w:id="0"/>
      <w:r w:rsidRPr="000127F9">
        <w:rPr>
          <w:rFonts w:ascii="Times New Roman" w:hAnsi="Times New Roman"/>
          <w:sz w:val="24"/>
        </w:rPr>
        <w:t>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«Проектно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>«</w:t>
      </w:r>
      <w:r w:rsidR="00B37879">
        <w:t>04</w:t>
      </w:r>
      <w:r>
        <w:t xml:space="preserve">» </w:t>
      </w:r>
      <w:r w:rsidR="00B37879">
        <w:t xml:space="preserve"> </w:t>
      </w:r>
      <w:r>
        <w:rPr>
          <w:u w:val="single"/>
        </w:rPr>
        <w:t xml:space="preserve">         </w:t>
      </w:r>
      <w:r w:rsidR="00B37879">
        <w:rPr>
          <w:u w:val="single"/>
        </w:rPr>
        <w:t>августа</w:t>
      </w:r>
      <w:r>
        <w:rPr>
          <w:u w:val="single"/>
        </w:rPr>
        <w:t xml:space="preserve">   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>«</w:t>
      </w:r>
      <w:r w:rsidR="00B37879">
        <w:t>17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     </w:t>
      </w:r>
      <w:r w:rsidR="00B37879">
        <w:rPr>
          <w:color w:val="0000FF"/>
          <w:u w:val="single"/>
        </w:rPr>
        <w:t>августа</w:t>
      </w:r>
      <w:r w:rsidRPr="00341539">
        <w:rPr>
          <w:color w:val="0000FF"/>
          <w:u w:val="single"/>
        </w:rPr>
        <w:t xml:space="preserve">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B96C8D">
        <w:rPr>
          <w:rFonts w:ascii="Times New Roman" w:hAnsi="Times New Roman"/>
          <w:b/>
          <w:color w:val="0000FF"/>
          <w:sz w:val="24"/>
        </w:rPr>
        <w:t>№441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>«</w:t>
      </w:r>
      <w:r w:rsidR="00B37879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» </w:t>
      </w:r>
      <w:r w:rsidR="00B37879">
        <w:rPr>
          <w:rFonts w:ascii="Times New Roman" w:hAnsi="Times New Roman"/>
          <w:b/>
        </w:rPr>
        <w:t>августа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   »________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 xml:space="preserve">тел. (34643) 47-042, </w:t>
      </w:r>
      <w:hyperlink r:id="rId11" w:history="1">
        <w:r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880ABB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Дмитриченко Оксана Анатольевна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B96C8D">
        <w:rPr>
          <w:rFonts w:ascii="Times New Roman" w:hAnsi="Times New Roman"/>
          <w:b/>
          <w:color w:val="0000FF"/>
          <w:sz w:val="24"/>
        </w:rPr>
        <w:t>№441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</w:t>
      </w:r>
      <w:r w:rsidR="00B37879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»</w:t>
      </w:r>
      <w:r w:rsidR="00B37879">
        <w:rPr>
          <w:rFonts w:ascii="Times New Roman" w:hAnsi="Times New Roman"/>
          <w:b/>
          <w:color w:val="0000FF"/>
          <w:sz w:val="24"/>
        </w:rPr>
        <w:t xml:space="preserve"> августа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3E6772" w:rsidP="00742946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B96C8D" w:rsidRPr="00B96C8D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B96C8D" w:rsidRPr="00B96C8D">
        <w:rPr>
          <w:rFonts w:ascii="Times New Roman" w:hAnsi="Times New Roman"/>
          <w:color w:val="0000FF"/>
          <w:sz w:val="24"/>
        </w:rPr>
        <w:t>Ново-Покурского</w:t>
      </w:r>
      <w:proofErr w:type="spellEnd"/>
      <w:r w:rsidR="00B96C8D" w:rsidRPr="00B96C8D">
        <w:rPr>
          <w:rFonts w:ascii="Times New Roman" w:hAnsi="Times New Roman"/>
          <w:color w:val="0000FF"/>
          <w:sz w:val="24"/>
        </w:rPr>
        <w:t xml:space="preserve"> месторождения. Ку</w:t>
      </w:r>
      <w:proofErr w:type="gramStart"/>
      <w:r w:rsidR="00B96C8D" w:rsidRPr="00B96C8D">
        <w:rPr>
          <w:rFonts w:ascii="Times New Roman" w:hAnsi="Times New Roman"/>
          <w:color w:val="0000FF"/>
          <w:sz w:val="24"/>
        </w:rPr>
        <w:t>ст скв</w:t>
      </w:r>
      <w:proofErr w:type="gramEnd"/>
      <w:r w:rsidR="00B96C8D" w:rsidRPr="00B96C8D">
        <w:rPr>
          <w:rFonts w:ascii="Times New Roman" w:hAnsi="Times New Roman"/>
          <w:color w:val="0000FF"/>
          <w:sz w:val="24"/>
        </w:rPr>
        <w:t>ажин №35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B96C8D">
              <w:rPr>
                <w:rFonts w:ascii="Times New Roman" w:hAnsi="Times New Roman"/>
                <w:color w:val="0000FF"/>
                <w:sz w:val="24"/>
                <w:szCs w:val="24"/>
              </w:rPr>
              <w:t>717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>Ново-Покурского</w:t>
            </w:r>
            <w:proofErr w:type="spellEnd"/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 xml:space="preserve"> месторождения. Ку</w:t>
            </w:r>
            <w:proofErr w:type="gramStart"/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>ст скв</w:t>
            </w:r>
            <w:proofErr w:type="gramEnd"/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>ажин №35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6F60B8" w:rsidP="00B96C8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076587" w:rsidRPr="00357D13">
              <w:rPr>
                <w:rFonts w:ascii="Times New Roman" w:hAnsi="Times New Roman"/>
              </w:rPr>
              <w:t xml:space="preserve">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AD0560">
              <w:rPr>
                <w:rFonts w:ascii="Times New Roman" w:hAnsi="Times New Roman"/>
              </w:rPr>
              <w:t xml:space="preserve">31 </w:t>
            </w:r>
            <w:r w:rsidR="00B96C8D">
              <w:rPr>
                <w:rFonts w:ascii="Times New Roman" w:hAnsi="Times New Roman"/>
              </w:rPr>
              <w:t>апреля</w:t>
            </w:r>
            <w:r w:rsidR="00AD0560">
              <w:rPr>
                <w:rFonts w:ascii="Times New Roman" w:hAnsi="Times New Roman"/>
              </w:rPr>
              <w:t xml:space="preserve">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3787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Протокол  № </w:t>
            </w:r>
            <w:r w:rsidR="00B37879">
              <w:rPr>
                <w:rFonts w:ascii="Times New Roman" w:hAnsi="Times New Roman"/>
                <w:sz w:val="24"/>
              </w:rPr>
              <w:t>305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3787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B37879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r w:rsidR="00B37879">
              <w:rPr>
                <w:rFonts w:ascii="Times New Roman" w:hAnsi="Times New Roman"/>
                <w:sz w:val="24"/>
              </w:rPr>
              <w:t>августа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3787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B96C8D">
        <w:rPr>
          <w:rFonts w:ascii="Times New Roman" w:hAnsi="Times New Roman"/>
          <w:color w:val="0000FF"/>
          <w:sz w:val="24"/>
        </w:rPr>
        <w:t>717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6F60B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B96C8D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B96C8D">
        <w:rPr>
          <w:rFonts w:ascii="Times New Roman" w:hAnsi="Times New Roman"/>
          <w:color w:val="0000FF"/>
          <w:sz w:val="24"/>
        </w:rPr>
        <w:t>апреля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B96C8D">
        <w:rPr>
          <w:rFonts w:ascii="Times New Roman" w:hAnsi="Times New Roman"/>
          <w:color w:val="0000FF"/>
          <w:sz w:val="24"/>
        </w:rPr>
        <w:t>717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 xml:space="preserve">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 xml:space="preserve">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b/>
          <w:sz w:val="24"/>
        </w:rPr>
        <w:t>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37879" w:rsidRDefault="00B3787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74" w:rsidRDefault="003B4874">
      <w:pPr>
        <w:spacing w:before="0"/>
      </w:pPr>
      <w:r>
        <w:separator/>
      </w:r>
    </w:p>
  </w:endnote>
  <w:endnote w:type="continuationSeparator" w:id="0">
    <w:p w:rsidR="003B4874" w:rsidRDefault="003B487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74" w:rsidRDefault="003B4874">
      <w:pPr>
        <w:spacing w:before="0"/>
      </w:pPr>
      <w:r>
        <w:separator/>
      </w:r>
    </w:p>
  </w:footnote>
  <w:footnote w:type="continuationSeparator" w:id="0">
    <w:p w:rsidR="003B4874" w:rsidRDefault="003B487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42F8E"/>
    <w:rsid w:val="00245BCE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B4874"/>
    <w:rsid w:val="003C1C2F"/>
    <w:rsid w:val="003E12E3"/>
    <w:rsid w:val="003E26C9"/>
    <w:rsid w:val="003E6772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37879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accreditation/" TargetMode="Externa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56;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6739-6AE3-4D54-885C-DFA431D5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1636</TotalTime>
  <Pages>1</Pages>
  <Words>3979</Words>
  <Characters>22685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Оксана Анатольевна Дмитриченко</cp:lastModifiedBy>
  <cp:revision>189</cp:revision>
  <cp:lastPrinted>2015-07-15T08:27:00Z</cp:lastPrinted>
  <dcterms:created xsi:type="dcterms:W3CDTF">2014-07-17T07:15:00Z</dcterms:created>
  <dcterms:modified xsi:type="dcterms:W3CDTF">2015-08-04T03:50:00Z</dcterms:modified>
</cp:coreProperties>
</file>