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4776D4">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7A7CDF" w:rsidRPr="00641020"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007A7CDF" w:rsidRPr="007A7CDF">
        <w:rPr>
          <w:rFonts w:ascii="Times New Roman" w:eastAsia="Times New Roman" w:hAnsi="Times New Roman" w:cs="Times New Roman"/>
          <w:b/>
          <w:sz w:val="16"/>
          <w:szCs w:val="16"/>
          <w:lang w:eastAsia="ru-RU"/>
        </w:rPr>
        <w:t xml:space="preserve"> ООО «Славнефть-Красноярскнефтегаз» </w:t>
      </w:r>
    </w:p>
    <w:p w:rsidR="00641020" w:rsidRP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firstRow="0" w:lastRow="0" w:firstColumn="0" w:lastColumn="0" w:noHBand="0" w:noVBand="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024D2D">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024D2D">
              <w:rPr>
                <w:rFonts w:ascii="Times New Roman" w:eastAsia="Times New Roman" w:hAnsi="Times New Roman" w:cs="Times New Roman"/>
                <w:lang w:val="en-US"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именуемое в дальнейшем «Покупатель»,</w:t>
      </w:r>
      <w:r w:rsidR="007F556A">
        <w:rPr>
          <w:rFonts w:ascii="Times New Roman" w:eastAsia="Times New Roman" w:hAnsi="Times New Roman" w:cs="Times New Roman"/>
          <w:lang w:eastAsia="ru-RU"/>
        </w:rPr>
        <w:t xml:space="preserve"> в лице</w:t>
      </w:r>
      <w:r w:rsidRPr="007A7CDF">
        <w:rPr>
          <w:rFonts w:ascii="Times New Roman" w:eastAsia="Times New Roman" w:hAnsi="Times New Roman" w:cs="Times New Roman"/>
          <w:lang w:eastAsia="ru-RU"/>
        </w:rPr>
        <w:t xml:space="preserve"> </w:t>
      </w:r>
      <w:r w:rsidR="007F556A" w:rsidRPr="00C92C0B">
        <w:rPr>
          <w:rFonts w:ascii="Times New Roman" w:hAnsi="Times New Roman" w:cs="Times New Roman"/>
          <w:lang w:eastAsia="ru-RU"/>
        </w:rPr>
        <w:t>временно исполняющего обязанности генерального директора Телышева Сергея Владимировича, действующего на основании Устава и Протокола внеочередного общего собрания участников ООО «Славнефть-Красноярскнефтегаз» от 17.03.2016г</w:t>
      </w:r>
      <w:r w:rsidRPr="007A7CDF">
        <w:rPr>
          <w:rFonts w:ascii="Times New Roman" w:eastAsia="Times New Roman" w:hAnsi="Times New Roman" w:cs="Times New Roman"/>
          <w:lang w:eastAsia="ru-RU"/>
        </w:rPr>
        <w:t>,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D45A4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 xml:space="preserve">Поставщик обязуется одновременно с Товаром передавать Покупателю (Грузополучателю) его </w:t>
      </w:r>
      <w:r w:rsidRPr="00D45A4F">
        <w:rPr>
          <w:rFonts w:ascii="Times New Roman" w:eastAsia="Times New Roman" w:hAnsi="Times New Roman" w:cs="Times New Roman"/>
          <w:lang w:eastAsia="ru-RU"/>
        </w:rPr>
        <w:t>принадлежности, а также относящиеся к Товару документы, предусмотренные законом и иными нормативными актами, такие как:</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D45A4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D45A4F" w:rsidRPr="00D45A4F" w:rsidRDefault="00D45A4F" w:rsidP="00D45A4F">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D45A4F" w:rsidRPr="00D45A4F" w:rsidRDefault="00D45A4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14 (Четырнадцать) рабочих дней до момента отгрузки Товаранаправить Покупателю факсимильным сообщением Уведомлениео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1"/>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w:t>
      </w:r>
      <w:r w:rsidRPr="007A7CDF">
        <w:rPr>
          <w:rFonts w:ascii="Times New Roman" w:eastAsia="Times New Roman" w:hAnsi="Times New Roman" w:cs="Times New Roman"/>
          <w:lang w:eastAsia="ru-RU"/>
        </w:rPr>
        <w:lastRenderedPageBreak/>
        <w:t>(Семь)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5.11. 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Если в Приложениях базис поставки указывается в соответствии с Инкотермс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Инкотермс.</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lastRenderedPageBreak/>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firstRow="0" w:lastRow="0" w:firstColumn="0" w:lastColumn="0" w:noHBand="0" w:noVBand="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bookmarkStart w:id="0" w:name="_GoBack"/>
            <w:bookmarkEnd w:id="0"/>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«ЕврофинансМоснарбанк»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F556A" w:rsidRDefault="007F556A" w:rsidP="007F556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Временно исполняющий обязанности</w:t>
            </w:r>
          </w:p>
          <w:p w:rsidR="007F556A" w:rsidRPr="00C92741" w:rsidRDefault="007F556A" w:rsidP="007F556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генерального директора</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7F556A">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 xml:space="preserve">________________________ С.В. </w:t>
            </w:r>
            <w:r w:rsidR="007F556A">
              <w:rPr>
                <w:rFonts w:ascii="Times New Roman" w:eastAsia="Times New Roman" w:hAnsi="Times New Roman" w:cs="Times New Roman"/>
                <w:b/>
                <w:sz w:val="20"/>
                <w:szCs w:val="20"/>
                <w:lang w:eastAsia="ru-RU"/>
              </w:rPr>
              <w:t>Телышев</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lastRenderedPageBreak/>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Pr="00C92741" w:rsidRDefault="00C92741" w:rsidP="00D45A4F">
      <w:pPr>
        <w:tabs>
          <w:tab w:val="center" w:pos="5102"/>
          <w:tab w:val="left" w:pos="8652"/>
        </w:tabs>
        <w:spacing w:after="0" w:line="240" w:lineRule="auto"/>
        <w:ind w:right="-578"/>
        <w:jc w:val="right"/>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tbl>
      <w:tblPr>
        <w:tblW w:w="0" w:type="auto"/>
        <w:tblLook w:val="04A0" w:firstRow="1" w:lastRow="0" w:firstColumn="1" w:lastColumn="0" w:noHBand="0" w:noVBand="1"/>
      </w:tblPr>
      <w:tblGrid>
        <w:gridCol w:w="5278"/>
        <w:gridCol w:w="5276"/>
      </w:tblGrid>
      <w:tr w:rsidR="00C92741" w:rsidRPr="00C92741" w:rsidTr="007F556A">
        <w:tc>
          <w:tcPr>
            <w:tcW w:w="5278"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276" w:type="dxa"/>
            <w:shd w:val="clear" w:color="auto" w:fill="auto"/>
          </w:tcPr>
          <w:p w:rsidR="00C92741" w:rsidRDefault="007F556A"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Временно исполняющий обязанности</w:t>
            </w:r>
          </w:p>
          <w:p w:rsidR="007F556A" w:rsidRPr="00C92741" w:rsidRDefault="007F556A" w:rsidP="00C927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генерального директора</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w:t>
            </w:r>
            <w:r w:rsidR="007F556A">
              <w:rPr>
                <w:rFonts w:ascii="Times New Roman" w:eastAsia="Times New Roman" w:hAnsi="Times New Roman" w:cs="Times New Roman"/>
                <w:b/>
                <w:sz w:val="24"/>
                <w:szCs w:val="24"/>
                <w:lang w:eastAsia="ru-RU"/>
              </w:rPr>
              <w:t>__________________ С.В. Телышев</w:t>
            </w: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Pr="00C92741" w:rsidRDefault="00D45A4F" w:rsidP="00C92741">
            <w:pPr>
              <w:spacing w:after="0" w:line="240" w:lineRule="auto"/>
              <w:rPr>
                <w:rFonts w:ascii="Times New Roman" w:eastAsia="Times New Roman" w:hAnsi="Times New Roman" w:cs="Times New Roman"/>
                <w:sz w:val="24"/>
                <w:szCs w:val="24"/>
                <w:lang w:eastAsia="ru-RU"/>
              </w:rPr>
            </w:pPr>
          </w:p>
        </w:tc>
      </w:tr>
    </w:tbl>
    <w:p w:rsidR="00D45A4F" w:rsidRPr="004621F3" w:rsidRDefault="00D45A4F" w:rsidP="00D45A4F">
      <w:pPr>
        <w:rPr>
          <w:sz w:val="26"/>
          <w:szCs w:val="26"/>
          <w:highlight w:val="yellow"/>
        </w:rPr>
      </w:pPr>
    </w:p>
    <w:p w:rsidR="00D45A4F" w:rsidRPr="00641020" w:rsidRDefault="00D45A4F" w:rsidP="00D45A4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 утвержденная </w:t>
      </w:r>
    </w:p>
    <w:p w:rsidR="00D45A4F" w:rsidRDefault="00D45A4F" w:rsidP="00D45A4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D45A4F" w:rsidRPr="004621F3" w:rsidRDefault="00D45A4F" w:rsidP="00D45A4F">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___________________________________ </w:t>
      </w:r>
    </w:p>
    <w:p w:rsidR="00D45A4F" w:rsidRPr="004621F3" w:rsidRDefault="00D45A4F" w:rsidP="00D45A4F">
      <w:pPr>
        <w:pStyle w:val="THKRecipaddress"/>
        <w:spacing w:after="0"/>
        <w:ind w:left="630"/>
        <w:jc w:val="right"/>
        <w:rPr>
          <w:rFonts w:cs="Arial"/>
          <w:sz w:val="18"/>
          <w:szCs w:val="18"/>
          <w:highlight w:val="yellow"/>
        </w:rPr>
      </w:pPr>
      <w:r w:rsidRPr="004621F3">
        <w:rPr>
          <w:rFonts w:cs="Arial"/>
          <w:sz w:val="18"/>
          <w:szCs w:val="18"/>
          <w:highlight w:val="yellow"/>
        </w:rPr>
        <w:t>(наименование Поставщика в соответствии с Уставом)</w:t>
      </w:r>
    </w:p>
    <w:p w:rsidR="00D45A4F" w:rsidRPr="004621F3" w:rsidRDefault="00D45A4F" w:rsidP="00D45A4F">
      <w:pPr>
        <w:pStyle w:val="THKRecipaddress"/>
        <w:spacing w:after="0"/>
        <w:ind w:left="630"/>
        <w:jc w:val="right"/>
        <w:rPr>
          <w:rFonts w:cs="Arial"/>
          <w:sz w:val="18"/>
          <w:szCs w:val="18"/>
          <w:highlight w:val="yellow"/>
        </w:rPr>
      </w:pPr>
      <w:r w:rsidRPr="004621F3">
        <w:rPr>
          <w:rFonts w:cs="Arial"/>
          <w:sz w:val="18"/>
          <w:szCs w:val="18"/>
          <w:highlight w:val="yellow"/>
        </w:rPr>
        <w:t xml:space="preserve">_______________________________________________ </w:t>
      </w:r>
    </w:p>
    <w:p w:rsidR="00D45A4F" w:rsidRPr="004621F3" w:rsidRDefault="00D45A4F" w:rsidP="00D45A4F">
      <w:pPr>
        <w:pStyle w:val="THKRecipaddress"/>
        <w:spacing w:after="0"/>
        <w:ind w:left="630"/>
        <w:jc w:val="center"/>
        <w:rPr>
          <w:rFonts w:cs="Arial"/>
          <w:szCs w:val="24"/>
          <w:highlight w:val="yellow"/>
        </w:rPr>
      </w:pPr>
      <w:r w:rsidRPr="004621F3">
        <w:rPr>
          <w:rFonts w:cs="Arial"/>
          <w:sz w:val="18"/>
          <w:szCs w:val="18"/>
          <w:highlight w:val="yellow"/>
        </w:rPr>
        <w:t xml:space="preserve">                                                                          (должность, Ф.И.О.)</w:t>
      </w:r>
    </w:p>
    <w:p w:rsidR="00D45A4F" w:rsidRPr="004621F3" w:rsidRDefault="00D45A4F" w:rsidP="00D45A4F">
      <w:pPr>
        <w:pStyle w:val="THKRecipaddress"/>
        <w:spacing w:after="0"/>
        <w:ind w:left="630"/>
        <w:jc w:val="both"/>
        <w:rPr>
          <w:rFonts w:cs="Arial"/>
          <w:szCs w:val="24"/>
          <w:highlight w:val="yellow"/>
        </w:rPr>
      </w:pPr>
    </w:p>
    <w:p w:rsidR="00D45A4F" w:rsidRPr="004621F3" w:rsidRDefault="00D45A4F" w:rsidP="00D45A4F">
      <w:pPr>
        <w:pStyle w:val="THKRecipaddress"/>
        <w:spacing w:after="0"/>
        <w:ind w:left="630"/>
        <w:jc w:val="both"/>
        <w:rPr>
          <w:rFonts w:cs="Arial"/>
          <w:b/>
          <w:szCs w:val="24"/>
          <w:highlight w:val="yellow"/>
        </w:rPr>
      </w:pPr>
    </w:p>
    <w:p w:rsidR="00D45A4F" w:rsidRPr="004621F3" w:rsidRDefault="00D45A4F" w:rsidP="00D45A4F">
      <w:pPr>
        <w:pStyle w:val="THKRecipaddress"/>
        <w:spacing w:after="0"/>
        <w:ind w:left="630"/>
        <w:jc w:val="both"/>
        <w:rPr>
          <w:rFonts w:cs="Arial"/>
          <w:b/>
          <w:szCs w:val="24"/>
          <w:highlight w:val="yellow"/>
        </w:rPr>
      </w:pPr>
      <w:r w:rsidRPr="004621F3">
        <w:rPr>
          <w:rFonts w:cs="Arial"/>
          <w:b/>
          <w:szCs w:val="24"/>
          <w:highlight w:val="yellow"/>
        </w:rPr>
        <w:t>Об использовании опциона в сторону у</w:t>
      </w:r>
      <w:r>
        <w:rPr>
          <w:rFonts w:cs="Arial"/>
          <w:b/>
          <w:szCs w:val="24"/>
          <w:highlight w:val="yellow"/>
        </w:rPr>
        <w:t>величения</w:t>
      </w:r>
    </w:p>
    <w:p w:rsidR="00D45A4F" w:rsidRPr="004621F3" w:rsidRDefault="00D45A4F" w:rsidP="00D45A4F">
      <w:pPr>
        <w:pStyle w:val="THKRecipaddress"/>
        <w:spacing w:after="0"/>
        <w:jc w:val="both"/>
        <w:rPr>
          <w:rFonts w:cs="Arial"/>
          <w:b/>
          <w:szCs w:val="24"/>
          <w:highlight w:val="yellow"/>
        </w:rPr>
      </w:pPr>
    </w:p>
    <w:p w:rsidR="00D45A4F" w:rsidRPr="004621F3" w:rsidRDefault="00D45A4F" w:rsidP="00D45A4F">
      <w:pPr>
        <w:pStyle w:val="THKRecipaddress"/>
        <w:spacing w:after="0"/>
        <w:jc w:val="center"/>
        <w:rPr>
          <w:rFonts w:cs="Arial"/>
          <w:b/>
          <w:i/>
          <w:szCs w:val="24"/>
          <w:highlight w:val="yellow"/>
        </w:rPr>
      </w:pPr>
      <w:r w:rsidRPr="004621F3">
        <w:rPr>
          <w:rFonts w:cs="Arial"/>
          <w:b/>
          <w:i/>
          <w:szCs w:val="24"/>
          <w:highlight w:val="yellow"/>
        </w:rPr>
        <w:t xml:space="preserve">Уважаемый </w:t>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t>__________________ !</w:t>
      </w:r>
    </w:p>
    <w:p w:rsidR="00D45A4F" w:rsidRPr="004621F3" w:rsidRDefault="00D45A4F" w:rsidP="00D45A4F">
      <w:pPr>
        <w:pStyle w:val="THKRecipaddress"/>
        <w:spacing w:after="0"/>
        <w:jc w:val="both"/>
        <w:rPr>
          <w:rFonts w:cs="Arial"/>
          <w:szCs w:val="24"/>
          <w:highlight w:val="yellow"/>
        </w:rPr>
      </w:pPr>
    </w:p>
    <w:p w:rsidR="00D45A4F" w:rsidRPr="004621F3" w:rsidRDefault="00D45A4F" w:rsidP="00D45A4F">
      <w:pPr>
        <w:pStyle w:val="THKRecipaddress"/>
        <w:spacing w:after="0"/>
        <w:ind w:firstLine="720"/>
        <w:jc w:val="both"/>
        <w:rPr>
          <w:rFonts w:cs="Arial"/>
          <w:szCs w:val="24"/>
          <w:highlight w:val="yellow"/>
        </w:rPr>
      </w:pPr>
      <w:r w:rsidRPr="004621F3">
        <w:rPr>
          <w:rFonts w:cs="Arial"/>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w:t>
      </w:r>
      <w:r>
        <w:rPr>
          <w:rFonts w:cs="Arial"/>
          <w:szCs w:val="24"/>
          <w:highlight w:val="yellow"/>
        </w:rPr>
        <w:t>величения</w:t>
      </w:r>
      <w:r w:rsidRPr="004621F3">
        <w:rPr>
          <w:rFonts w:cs="Arial"/>
          <w:szCs w:val="24"/>
          <w:highlight w:val="yellow"/>
        </w:rPr>
        <w:t xml:space="preserve">, а именно: </w:t>
      </w:r>
    </w:p>
    <w:p w:rsidR="00D45A4F" w:rsidRPr="004621F3" w:rsidRDefault="00D45A4F" w:rsidP="00D45A4F">
      <w:pPr>
        <w:pStyle w:val="THKRecipaddress"/>
        <w:spacing w:after="0"/>
        <w:jc w:val="both"/>
        <w:rPr>
          <w:rFonts w:cs="Arial"/>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2126"/>
        <w:gridCol w:w="2552"/>
        <w:gridCol w:w="2799"/>
      </w:tblGrid>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Количество поставляемого Товара с учётом заявленного Покупателем опциона</w:t>
            </w: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bl>
    <w:p w:rsidR="00D45A4F" w:rsidRPr="004621F3" w:rsidRDefault="00D45A4F" w:rsidP="00D45A4F">
      <w:pPr>
        <w:pStyle w:val="THKRecipaddress"/>
        <w:spacing w:after="0"/>
        <w:jc w:val="both"/>
        <w:rPr>
          <w:rFonts w:cs="Arial"/>
          <w:szCs w:val="24"/>
          <w:highlight w:val="yellow"/>
        </w:rPr>
      </w:pPr>
    </w:p>
    <w:p w:rsidR="00D45A4F" w:rsidRPr="004621F3" w:rsidRDefault="00D45A4F" w:rsidP="00D45A4F">
      <w:pPr>
        <w:pStyle w:val="THKRecipaddress"/>
        <w:spacing w:after="0"/>
        <w:ind w:left="6"/>
        <w:rPr>
          <w:rFonts w:cs="Arial"/>
          <w:szCs w:val="24"/>
          <w:highlight w:val="yellow"/>
        </w:rPr>
      </w:pPr>
      <w:r w:rsidRPr="004621F3">
        <w:rPr>
          <w:rFonts w:cs="Arial"/>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(дд/мм/гг/) с последующей досылкой оригинала документа в течение 7 (Семь) рабочих дней со дня его подписания.</w:t>
      </w:r>
    </w:p>
    <w:p w:rsidR="00D45A4F" w:rsidRPr="004621F3" w:rsidRDefault="00D45A4F" w:rsidP="00D45A4F">
      <w:pPr>
        <w:pStyle w:val="THKRecipaddress"/>
        <w:spacing w:after="0"/>
        <w:ind w:left="6" w:firstLine="714"/>
        <w:rPr>
          <w:rFonts w:cs="Arial"/>
          <w:szCs w:val="24"/>
          <w:highlight w:val="yellow"/>
        </w:rPr>
      </w:pPr>
      <w:r w:rsidRPr="004621F3">
        <w:rPr>
          <w:rFonts w:cs="Arial"/>
          <w:szCs w:val="24"/>
          <w:highlight w:val="yellow"/>
        </w:rPr>
        <w:t>В случае каких-либо вопросов просьба обращаться по телефону_________.</w:t>
      </w:r>
    </w:p>
    <w:p w:rsidR="00D45A4F" w:rsidRPr="004621F3" w:rsidRDefault="00D45A4F" w:rsidP="00D45A4F">
      <w:pPr>
        <w:pStyle w:val="THKRecipaddress"/>
        <w:spacing w:after="0"/>
        <w:rPr>
          <w:rFonts w:cs="Arial"/>
          <w:szCs w:val="24"/>
          <w:highlight w:val="yellow"/>
        </w:rPr>
      </w:pPr>
    </w:p>
    <w:p w:rsidR="00D45A4F" w:rsidRPr="004621F3" w:rsidRDefault="00D45A4F" w:rsidP="00D45A4F">
      <w:pPr>
        <w:pStyle w:val="THKRecipaddress"/>
        <w:spacing w:after="0"/>
        <w:rPr>
          <w:rFonts w:cs="Arial"/>
          <w:szCs w:val="24"/>
          <w:highlight w:val="yellow"/>
        </w:rPr>
      </w:pPr>
    </w:p>
    <w:p w:rsidR="00D45A4F" w:rsidRPr="004621F3" w:rsidRDefault="00D45A4F" w:rsidP="00D45A4F">
      <w:pPr>
        <w:pStyle w:val="THKRecipaddress"/>
        <w:spacing w:after="0" w:line="240" w:lineRule="auto"/>
        <w:rPr>
          <w:rFonts w:cs="Arial"/>
          <w:b/>
          <w:szCs w:val="24"/>
          <w:highlight w:val="yellow"/>
        </w:rPr>
      </w:pPr>
      <w:r w:rsidRPr="004621F3">
        <w:rPr>
          <w:rFonts w:cs="Arial"/>
          <w:b/>
          <w:szCs w:val="24"/>
          <w:highlight w:val="yellow"/>
        </w:rPr>
        <w:t>От ООО «Славнефть-Красноярскнефтегаз»</w:t>
      </w:r>
    </w:p>
    <w:p w:rsidR="00D45A4F" w:rsidRPr="004621F3" w:rsidRDefault="00D45A4F" w:rsidP="00D45A4F">
      <w:pPr>
        <w:pStyle w:val="THKRecipaddress"/>
        <w:spacing w:after="0" w:line="240" w:lineRule="auto"/>
        <w:rPr>
          <w:rFonts w:cs="Arial"/>
          <w:b/>
          <w:szCs w:val="24"/>
          <w:highlight w:val="yellow"/>
        </w:rPr>
      </w:pPr>
    </w:p>
    <w:p w:rsidR="00D45A4F" w:rsidRPr="004621F3" w:rsidRDefault="00D45A4F" w:rsidP="00D45A4F">
      <w:pPr>
        <w:pStyle w:val="THKRecipaddress"/>
        <w:spacing w:after="0" w:line="240" w:lineRule="auto"/>
        <w:rPr>
          <w:rFonts w:cs="Arial"/>
          <w:szCs w:val="24"/>
          <w:highlight w:val="yellow"/>
        </w:rPr>
      </w:pPr>
      <w:r w:rsidRPr="004621F3">
        <w:rPr>
          <w:rFonts w:cs="Arial"/>
          <w:szCs w:val="24"/>
          <w:highlight w:val="yellow"/>
        </w:rPr>
        <w:t>_______________________</w:t>
      </w:r>
    </w:p>
    <w:p w:rsidR="00D45A4F" w:rsidRPr="004621F3" w:rsidRDefault="00D45A4F" w:rsidP="00D45A4F">
      <w:pPr>
        <w:pStyle w:val="THKRecipaddress"/>
        <w:spacing w:after="0" w:line="240" w:lineRule="auto"/>
        <w:rPr>
          <w:rFonts w:cs="Arial"/>
          <w:i/>
          <w:sz w:val="18"/>
          <w:szCs w:val="18"/>
          <w:highlight w:val="yellow"/>
        </w:rPr>
      </w:pPr>
      <w:r w:rsidRPr="004621F3">
        <w:rPr>
          <w:rFonts w:cs="Arial"/>
          <w:i/>
          <w:sz w:val="18"/>
          <w:szCs w:val="18"/>
          <w:highlight w:val="yellow"/>
        </w:rPr>
        <w:t>(должность, полномочия)</w:t>
      </w:r>
    </w:p>
    <w:p w:rsidR="00D45A4F" w:rsidRPr="004621F3" w:rsidRDefault="00D45A4F" w:rsidP="00D45A4F">
      <w:pPr>
        <w:pStyle w:val="THKRecipaddress"/>
        <w:spacing w:after="0" w:line="240" w:lineRule="auto"/>
        <w:rPr>
          <w:rFonts w:cs="Arial"/>
          <w:i/>
          <w:sz w:val="18"/>
          <w:szCs w:val="18"/>
          <w:highlight w:val="yellow"/>
        </w:rPr>
      </w:pPr>
    </w:p>
    <w:p w:rsidR="00D45A4F" w:rsidRPr="004621F3" w:rsidRDefault="00D45A4F" w:rsidP="00D45A4F">
      <w:pPr>
        <w:pStyle w:val="THKRecipaddress"/>
        <w:spacing w:after="0" w:line="240" w:lineRule="auto"/>
        <w:rPr>
          <w:rFonts w:cs="Arial"/>
          <w:i/>
          <w:szCs w:val="24"/>
          <w:highlight w:val="yellow"/>
        </w:rPr>
      </w:pPr>
      <w:r w:rsidRPr="004621F3">
        <w:rPr>
          <w:rFonts w:cs="Arial"/>
          <w:i/>
          <w:szCs w:val="24"/>
          <w:highlight w:val="yellow"/>
        </w:rPr>
        <w:t xml:space="preserve">_______________________ </w:t>
      </w:r>
    </w:p>
    <w:p w:rsidR="00D45A4F" w:rsidRPr="004621F3" w:rsidRDefault="00D45A4F" w:rsidP="00D45A4F">
      <w:pPr>
        <w:pStyle w:val="THKRecipaddress"/>
        <w:spacing w:after="0" w:line="240" w:lineRule="auto"/>
        <w:rPr>
          <w:rFonts w:cs="Arial"/>
          <w:i/>
          <w:sz w:val="18"/>
          <w:szCs w:val="18"/>
          <w:highlight w:val="yellow"/>
        </w:rPr>
      </w:pPr>
      <w:r w:rsidRPr="004621F3">
        <w:rPr>
          <w:rFonts w:cs="Arial"/>
          <w:i/>
          <w:sz w:val="18"/>
          <w:szCs w:val="18"/>
          <w:highlight w:val="yellow"/>
        </w:rPr>
        <w:t xml:space="preserve">                    (Ф.И.О.)</w:t>
      </w:r>
    </w:p>
    <w:p w:rsidR="00D45A4F" w:rsidRPr="004621F3" w:rsidRDefault="00D45A4F" w:rsidP="00D45A4F">
      <w:pPr>
        <w:pStyle w:val="THKRecipaddress"/>
        <w:spacing w:after="0" w:line="240" w:lineRule="auto"/>
        <w:rPr>
          <w:rFonts w:cs="Arial"/>
          <w:sz w:val="18"/>
          <w:szCs w:val="18"/>
          <w:highlight w:val="yellow"/>
        </w:rPr>
      </w:pPr>
    </w:p>
    <w:p w:rsidR="00D45A4F" w:rsidRDefault="00D45A4F" w:rsidP="00D45A4F">
      <w:pPr>
        <w:pStyle w:val="THKRecipaddress"/>
        <w:spacing w:after="0" w:line="240" w:lineRule="auto"/>
        <w:rPr>
          <w:rFonts w:cs="Arial"/>
          <w:szCs w:val="24"/>
        </w:rPr>
      </w:pPr>
      <w:r w:rsidRPr="004621F3">
        <w:rPr>
          <w:rFonts w:cs="Arial"/>
          <w:szCs w:val="24"/>
          <w:highlight w:val="yellow"/>
        </w:rPr>
        <w:t>«___» _____________ ____ г.</w:t>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 xml:space="preserve">Типовая форма договора,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"Cтороны"</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footnoteReference w:id="3"/>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(руб)</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4"/>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Производитель Товара: _____________________ (место нахождения производителя Товара: ________________________________________) – пп. … Таблицы п. 1.1.</w:t>
      </w:r>
    </w:p>
    <w:p w:rsidR="00D45A4F" w:rsidRPr="009D07D7" w:rsidRDefault="00D45A4F" w:rsidP="00D45A4F">
      <w:pPr>
        <w:numPr>
          <w:ilvl w:val="1"/>
          <w:numId w:val="5"/>
        </w:numPr>
        <w:spacing w:after="0" w:line="240" w:lineRule="auto"/>
        <w:ind w:left="709" w:firstLine="0"/>
        <w:jc w:val="both"/>
        <w:rPr>
          <w:rFonts w:ascii="Arial" w:hAnsi="Arial" w:cs="Arial"/>
          <w:color w:val="000000"/>
          <w:sz w:val="20"/>
          <w:szCs w:val="20"/>
          <w:highlight w:val="yellow"/>
        </w:rPr>
      </w:pP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 xml:space="preserve">сторону увеличения-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D45A4F" w:rsidRPr="00F3182C" w:rsidRDefault="00D45A4F" w:rsidP="00F3182C">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lastRenderedPageBreak/>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rPr>
        <w:footnoteReference w:id="5"/>
      </w:r>
      <w:r w:rsidRPr="009D07D7">
        <w:rPr>
          <w:rFonts w:ascii="Arial" w:hAnsi="Arial" w:cs="Arial"/>
          <w:color w:val="000000"/>
          <w:sz w:val="20"/>
          <w:szCs w:val="20"/>
          <w:highlight w:val="yellow"/>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6"/>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7"/>
      </w:r>
    </w:p>
    <w:p w:rsidR="00F3182C" w:rsidRDefault="00F3182C" w:rsidP="00C92741">
      <w:pPr>
        <w:spacing w:after="0" w:line="240" w:lineRule="auto"/>
        <w:ind w:left="709"/>
        <w:jc w:val="both"/>
        <w:rPr>
          <w:rFonts w:ascii="Arial" w:eastAsia="Times New Roman" w:hAnsi="Arial" w:cs="Arial"/>
          <w:i/>
          <w:color w:val="000000"/>
          <w:sz w:val="20"/>
          <w:szCs w:val="20"/>
          <w:lang w:eastAsia="ru-RU"/>
        </w:rPr>
      </w:pPr>
    </w:p>
    <w:p w:rsidR="00F3182C" w:rsidRPr="00BF5A96" w:rsidRDefault="00F3182C" w:rsidP="00F3182C">
      <w:pPr>
        <w:ind w:left="709"/>
        <w:jc w:val="both"/>
        <w:rPr>
          <w:rFonts w:ascii="Arial" w:hAnsi="Arial" w:cs="Arial"/>
          <w:i/>
          <w:color w:val="000000"/>
          <w:sz w:val="20"/>
          <w:szCs w:val="20"/>
        </w:rPr>
      </w:pPr>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r w:rsidRPr="009D07D7">
        <w:rPr>
          <w:rFonts w:ascii="Arial" w:hAnsi="Arial" w:cs="Arial"/>
          <w:color w:val="000000"/>
          <w:sz w:val="20"/>
          <w:szCs w:val="20"/>
          <w:highlight w:val="yellow"/>
        </w:rPr>
        <w:t>.</w:t>
      </w: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8"/>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9"/>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(указать или место передачи Товара Грузополучателю, при необходимости, включая условия доставки Товара, или Базис поставки в соответствии с Инкотермс 2010 (публикация Международной торговой палаты №715).</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1"/>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2"/>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219" w:rsidRDefault="007C5219" w:rsidP="007A7CDF">
      <w:pPr>
        <w:spacing w:after="0" w:line="240" w:lineRule="auto"/>
      </w:pPr>
      <w:r>
        <w:separator/>
      </w:r>
    </w:p>
  </w:endnote>
  <w:endnote w:type="continuationSeparator" w:id="0">
    <w:p w:rsidR="007C5219" w:rsidRDefault="007C5219" w:rsidP="007A7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024529"/>
      <w:docPartObj>
        <w:docPartGallery w:val="Page Numbers (Bottom of Page)"/>
        <w:docPartUnique/>
      </w:docPartObj>
    </w:sdtPr>
    <w:sdtEndPr/>
    <w:sdtContent>
      <w:p w:rsidR="00F942B0" w:rsidRDefault="00442796">
        <w:pPr>
          <w:pStyle w:val="a6"/>
          <w:jc w:val="right"/>
        </w:pPr>
        <w:r>
          <w:fldChar w:fldCharType="begin"/>
        </w:r>
        <w:r w:rsidR="00F942B0">
          <w:instrText>PAGE   \* MERGEFORMAT</w:instrText>
        </w:r>
        <w:r>
          <w:fldChar w:fldCharType="separate"/>
        </w:r>
        <w:r w:rsidR="007F556A">
          <w:rPr>
            <w:noProof/>
          </w:rPr>
          <w:t>11</w:t>
        </w:r>
        <w:r>
          <w:fldChar w:fldCharType="end"/>
        </w:r>
      </w:p>
    </w:sdtContent>
  </w:sdt>
  <w:p w:rsidR="00C92741" w:rsidRDefault="00C9274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219" w:rsidRDefault="007C5219" w:rsidP="007A7CDF">
      <w:pPr>
        <w:spacing w:after="0" w:line="240" w:lineRule="auto"/>
      </w:pPr>
      <w:r>
        <w:separator/>
      </w:r>
    </w:p>
  </w:footnote>
  <w:footnote w:type="continuationSeparator" w:id="0">
    <w:p w:rsidR="007C5219" w:rsidRDefault="007C5219" w:rsidP="007A7CDF">
      <w:pPr>
        <w:spacing w:after="0" w:line="240" w:lineRule="auto"/>
      </w:pPr>
      <w:r>
        <w:continuationSeparator/>
      </w:r>
    </w:p>
  </w:footnote>
  <w:footnote w:id="1">
    <w:p w:rsidR="007A7CDF" w:rsidRDefault="007A7CDF" w:rsidP="007A7CDF">
      <w:pPr>
        <w:pStyle w:val="a3"/>
      </w:pPr>
      <w:r>
        <w:rPr>
          <w:rStyle w:val="a5"/>
        </w:rPr>
        <w:footnoteRef/>
      </w:r>
      <w:r>
        <w:t xml:space="preserve"> Пункты 5.2, 5.2.1, 5.2.2 не применяется при поставках химии</w:t>
      </w:r>
    </w:p>
  </w:footnote>
  <w:footnote w:id="2">
    <w:p w:rsidR="007A7CDF" w:rsidRPr="00C024A9" w:rsidRDefault="007A7CDF" w:rsidP="007A7CDF">
      <w:pPr>
        <w:pStyle w:val="a3"/>
      </w:pPr>
      <w:r>
        <w:rPr>
          <w:rStyle w:val="a5"/>
        </w:rPr>
        <w:footnoteRef/>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3">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5">
    <w:p w:rsidR="00D45A4F" w:rsidRDefault="00D45A4F" w:rsidP="00D45A4F">
      <w:pPr>
        <w:pStyle w:val="a3"/>
      </w:pPr>
      <w:r>
        <w:rPr>
          <w:rStyle w:val="a5"/>
        </w:rPr>
        <w:footnoteRef/>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p>
  </w:footnote>
  <w:footnote w:id="6">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7">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8">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9">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0">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1">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2">
    <w:p w:rsidR="00C92741" w:rsidRDefault="00C92741" w:rsidP="00C92741">
      <w:pPr>
        <w:pStyle w:val="a3"/>
      </w:pPr>
      <w:r>
        <w:rPr>
          <w:rStyle w:val="a5"/>
        </w:rPr>
        <w:footnoteRef/>
      </w:r>
      <w:r w:rsidRPr="00276632">
        <w:rPr>
          <w:rFonts w:ascii="Arial" w:hAnsi="Arial" w:cs="Arial"/>
          <w:sz w:val="16"/>
          <w:szCs w:val="16"/>
        </w:rPr>
        <w:t>Указать процент отклонения</w:t>
      </w:r>
      <w:r>
        <w:rPr>
          <w:rFonts w:ascii="Arial" w:hAnsi="Arial" w:cs="Arial"/>
          <w:sz w:val="16"/>
          <w:szCs w:val="16"/>
        </w:rPr>
        <w:t>.</w:t>
      </w:r>
    </w:p>
  </w:footnote>
  <w:footnote w:id="13">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4">
    <w:p w:rsidR="00C92741" w:rsidRPr="00CB1DB2" w:rsidRDefault="00C92741" w:rsidP="00C92741">
      <w:pPr>
        <w:pStyle w:val="a3"/>
      </w:pPr>
      <w:r>
        <w:rPr>
          <w:rStyle w:val="a5"/>
        </w:rPr>
        <w:footnoteRef/>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741" w:rsidRDefault="00C92741">
    <w:pPr>
      <w:pStyle w:val="a8"/>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7A7CDF"/>
    <w:rsid w:val="00024D2D"/>
    <w:rsid w:val="00061764"/>
    <w:rsid w:val="004248D6"/>
    <w:rsid w:val="00442796"/>
    <w:rsid w:val="004776D4"/>
    <w:rsid w:val="004C0F44"/>
    <w:rsid w:val="00530B27"/>
    <w:rsid w:val="005B114E"/>
    <w:rsid w:val="00641020"/>
    <w:rsid w:val="00682B8F"/>
    <w:rsid w:val="007A7CDF"/>
    <w:rsid w:val="007C5219"/>
    <w:rsid w:val="007F556A"/>
    <w:rsid w:val="00C526C4"/>
    <w:rsid w:val="00C92741"/>
    <w:rsid w:val="00D45A4F"/>
    <w:rsid w:val="00F3182C"/>
    <w:rsid w:val="00F942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ADEE768F-159E-49BD-8BCE-1C8FB84D8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7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4776D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776D4"/>
    <w:rPr>
      <w:rFonts w:ascii="Segoe UI" w:hAnsi="Segoe UI" w:cs="Segoe UI"/>
      <w:sz w:val="18"/>
      <w:szCs w:val="18"/>
    </w:rPr>
  </w:style>
  <w:style w:type="paragraph" w:customStyle="1" w:styleId="THKRecipaddress">
    <w:name w:val="THKRecipaddress"/>
    <w:rsid w:val="00D45A4F"/>
    <w:pPr>
      <w:spacing w:after="280" w:line="280" w:lineRule="exact"/>
    </w:pPr>
    <w:rPr>
      <w:rFonts w:ascii="Arial" w:eastAsia="Calibri"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7281</Words>
  <Characters>41508</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Демьянова Анастасия Михайловна</cp:lastModifiedBy>
  <cp:revision>14</cp:revision>
  <cp:lastPrinted>2016-05-11T03:48:00Z</cp:lastPrinted>
  <dcterms:created xsi:type="dcterms:W3CDTF">2015-09-24T10:29:00Z</dcterms:created>
  <dcterms:modified xsi:type="dcterms:W3CDTF">2016-05-11T04:22:00Z</dcterms:modified>
</cp:coreProperties>
</file>