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22951526"/>
    <w:bookmarkEnd w:id="0"/>
    <w:bookmarkStart w:id="1" w:name="_MON_1725864328"/>
    <w:bookmarkEnd w:id="1"/>
    <w:p w:rsidR="00700887" w:rsidRPr="007845C1" w:rsidRDefault="00AC65CE" w:rsidP="000C1ED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5C1">
        <w:rPr>
          <w:b/>
        </w:rPr>
        <w:object w:dxaOrig="10461" w:dyaOrig="15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756.75pt" o:ole="">
            <v:imagedata r:id="rId8" o:title=""/>
          </v:shape>
          <o:OLEObject Type="Embed" ProgID="Word.Document.12" ShapeID="_x0000_i1025" DrawAspect="Content" ObjectID="_1753713744" r:id="rId9">
            <o:FieldCodes>\s</o:FieldCodes>
          </o:OLEObject>
        </w:object>
      </w:r>
    </w:p>
    <w:p w:rsid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Общие сведения</w:t>
      </w:r>
    </w:p>
    <w:p w:rsidR="00BE1476" w:rsidRPr="00BE1476" w:rsidRDefault="00BE1476" w:rsidP="00BE147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Расположение земельного участка</w:t>
      </w:r>
    </w:p>
    <w:p w:rsidR="00700887" w:rsidRPr="00BE1476" w:rsidRDefault="00700887" w:rsidP="00AE138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Административн</w:t>
      </w:r>
      <w:r w:rsidR="00BE1476" w:rsidRPr="00BE1476">
        <w:rPr>
          <w:rFonts w:ascii="Times New Roman" w:hAnsi="Times New Roman" w:cs="Times New Roman"/>
          <w:sz w:val="21"/>
          <w:szCs w:val="21"/>
        </w:rPr>
        <w:t>ая</w:t>
      </w:r>
      <w:r w:rsidRPr="00BE1476">
        <w:rPr>
          <w:rFonts w:ascii="Times New Roman" w:hAnsi="Times New Roman" w:cs="Times New Roman"/>
          <w:sz w:val="21"/>
          <w:szCs w:val="21"/>
        </w:rPr>
        <w:t xml:space="preserve"> площадка скважины находится на территории </w:t>
      </w:r>
      <w:r w:rsidR="005E208B" w:rsidRPr="00BE1476">
        <w:rPr>
          <w:rFonts w:ascii="Times New Roman" w:hAnsi="Times New Roman" w:cs="Times New Roman"/>
          <w:sz w:val="21"/>
          <w:szCs w:val="21"/>
        </w:rPr>
        <w:t>Туруханского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AE1381" w:rsidRPr="00BE1476">
        <w:rPr>
          <w:rFonts w:ascii="Times New Roman" w:hAnsi="Times New Roman" w:cs="Times New Roman"/>
          <w:sz w:val="21"/>
          <w:szCs w:val="21"/>
        </w:rPr>
        <w:t>района Красноярского края (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AE1381" w:rsidRPr="00BE1476">
        <w:rPr>
          <w:rFonts w:ascii="Times New Roman" w:hAnsi="Times New Roman" w:cs="Times New Roman"/>
          <w:sz w:val="21"/>
          <w:szCs w:val="21"/>
        </w:rPr>
        <w:t xml:space="preserve"> ЛУ). Ближайший населенный пункт – </w:t>
      </w:r>
      <w:r w:rsidR="005E208B" w:rsidRPr="00BE1476">
        <w:rPr>
          <w:rFonts w:ascii="Times New Roman" w:hAnsi="Times New Roman" w:cs="Times New Roman"/>
          <w:sz w:val="21"/>
          <w:szCs w:val="21"/>
        </w:rPr>
        <w:t>г</w:t>
      </w:r>
      <w:r w:rsidR="00AE1381" w:rsidRPr="00BE1476">
        <w:rPr>
          <w:rFonts w:ascii="Times New Roman" w:hAnsi="Times New Roman" w:cs="Times New Roman"/>
          <w:sz w:val="21"/>
          <w:szCs w:val="21"/>
        </w:rPr>
        <w:t xml:space="preserve">. </w:t>
      </w:r>
      <w:r w:rsidR="005E208B" w:rsidRPr="00BE1476">
        <w:rPr>
          <w:rFonts w:ascii="Times New Roman" w:hAnsi="Times New Roman" w:cs="Times New Roman"/>
          <w:sz w:val="21"/>
          <w:szCs w:val="21"/>
        </w:rPr>
        <w:t xml:space="preserve">Игарка </w:t>
      </w:r>
      <w:r w:rsidR="00AE1381" w:rsidRPr="00BE1476">
        <w:rPr>
          <w:rFonts w:ascii="Times New Roman" w:hAnsi="Times New Roman" w:cs="Times New Roman"/>
          <w:sz w:val="21"/>
          <w:szCs w:val="21"/>
        </w:rPr>
        <w:t>(в 1</w:t>
      </w:r>
      <w:r w:rsidR="005E208B" w:rsidRPr="00BE1476">
        <w:rPr>
          <w:rFonts w:ascii="Times New Roman" w:hAnsi="Times New Roman" w:cs="Times New Roman"/>
          <w:sz w:val="21"/>
          <w:szCs w:val="21"/>
        </w:rPr>
        <w:t>64</w:t>
      </w:r>
      <w:r w:rsidR="00AE1381" w:rsidRPr="00BE1476">
        <w:rPr>
          <w:rFonts w:ascii="Times New Roman" w:hAnsi="Times New Roman" w:cs="Times New Roman"/>
          <w:sz w:val="21"/>
          <w:szCs w:val="21"/>
        </w:rPr>
        <w:t xml:space="preserve"> километрах к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юг</w:t>
      </w:r>
      <w:r w:rsidR="00AE1381" w:rsidRPr="00BE1476">
        <w:rPr>
          <w:rFonts w:ascii="Times New Roman" w:hAnsi="Times New Roman" w:cs="Times New Roman"/>
          <w:sz w:val="21"/>
          <w:szCs w:val="21"/>
        </w:rPr>
        <w:t>о</w:t>
      </w:r>
      <w:proofErr w:type="spellEnd"/>
      <w:r w:rsidR="00AE1381" w:rsidRPr="00BE1476">
        <w:rPr>
          <w:rFonts w:ascii="Times New Roman" w:hAnsi="Times New Roman" w:cs="Times New Roman"/>
          <w:sz w:val="21"/>
          <w:szCs w:val="21"/>
        </w:rPr>
        <w:t xml:space="preserve"> – востоку).</w:t>
      </w:r>
    </w:p>
    <w:p w:rsidR="00700887" w:rsidRDefault="00700887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Расположение проектируемой площадки отображено (Приложение 1 к ТЗ – схема расположения площадки).</w:t>
      </w:r>
    </w:p>
    <w:p w:rsidR="00BE1476" w:rsidRPr="00BE1476" w:rsidRDefault="00BE1476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Природно-климатические условия</w:t>
      </w:r>
      <w:r w:rsidR="00A139CB" w:rsidRPr="00BE1476">
        <w:rPr>
          <w:rFonts w:ascii="Times New Roman" w:hAnsi="Times New Roman" w:cs="Times New Roman"/>
          <w:b/>
          <w:sz w:val="21"/>
          <w:szCs w:val="21"/>
        </w:rPr>
        <w:t xml:space="preserve">   </w:t>
      </w:r>
    </w:p>
    <w:p w:rsidR="00C41B8E" w:rsidRPr="00BE1476" w:rsidRDefault="00AE1381" w:rsidP="005E208B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Климат района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 xml:space="preserve">резко континентальный. Зима </w:t>
      </w:r>
      <w:r w:rsidR="00700887" w:rsidRPr="00BE1476">
        <w:rPr>
          <w:rFonts w:ascii="Times New Roman" w:hAnsi="Times New Roman"/>
          <w:sz w:val="21"/>
          <w:szCs w:val="21"/>
        </w:rPr>
        <w:t>суровая</w:t>
      </w:r>
      <w:r w:rsidRPr="00BE1476">
        <w:rPr>
          <w:rFonts w:ascii="Times New Roman" w:hAnsi="Times New Roman"/>
          <w:sz w:val="21"/>
          <w:szCs w:val="21"/>
        </w:rPr>
        <w:t>, холодная,</w:t>
      </w:r>
      <w:r w:rsidR="00700887" w:rsidRPr="00BE1476">
        <w:rPr>
          <w:rFonts w:ascii="Times New Roman" w:hAnsi="Times New Roman"/>
          <w:sz w:val="21"/>
          <w:szCs w:val="21"/>
        </w:rPr>
        <w:t xml:space="preserve"> продолжительная </w:t>
      </w:r>
      <w:r w:rsidRPr="00BE1476">
        <w:rPr>
          <w:rFonts w:ascii="Times New Roman" w:hAnsi="Times New Roman"/>
          <w:sz w:val="21"/>
          <w:szCs w:val="21"/>
        </w:rPr>
        <w:t xml:space="preserve">с сильными </w:t>
      </w:r>
      <w:proofErr w:type="gramStart"/>
      <w:r w:rsidRPr="00BE1476">
        <w:rPr>
          <w:rFonts w:ascii="Times New Roman" w:hAnsi="Times New Roman"/>
          <w:sz w:val="21"/>
          <w:szCs w:val="21"/>
        </w:rPr>
        <w:t>ветрами  и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метелями, устойчивым снежным покровом, весенними возвратами холодов, поздними весенними и осенними заморозками. Лето сравнительно короткое, но довольно теплое. Периоды очень короткие, особенно весна, с резкими колебаниями температур.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</w:p>
    <w:p w:rsidR="00700887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Продолжительность неблагоприятного периода – с 20 сентября по 5 июня (8,5 месяцев).</w:t>
      </w:r>
    </w:p>
    <w:p w:rsidR="00BE1476" w:rsidRPr="00BE1476" w:rsidRDefault="00BE1476" w:rsidP="00700887">
      <w:pPr>
        <w:pStyle w:val="a5"/>
        <w:rPr>
          <w:rFonts w:ascii="Times New Roman" w:hAnsi="Times New Roman"/>
          <w:sz w:val="21"/>
          <w:szCs w:val="21"/>
        </w:rPr>
      </w:pPr>
    </w:p>
    <w:p w:rsidR="00700887" w:rsidRPr="00BE1476" w:rsidRDefault="00B339A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Toc22033727"/>
      <w:r w:rsidRPr="00BE1476">
        <w:rPr>
          <w:rFonts w:ascii="Times New Roman" w:hAnsi="Times New Roman"/>
          <w:b/>
          <w:sz w:val="21"/>
          <w:szCs w:val="21"/>
        </w:rPr>
        <w:t xml:space="preserve">   </w:t>
      </w:r>
      <w:bookmarkEnd w:id="2"/>
      <w:r w:rsidR="00975CE2" w:rsidRPr="00BE1476">
        <w:rPr>
          <w:rFonts w:ascii="Times New Roman" w:hAnsi="Times New Roman" w:cs="Times New Roman"/>
          <w:b/>
          <w:sz w:val="21"/>
          <w:szCs w:val="21"/>
        </w:rPr>
        <w:t>Описание организации рельефа вертикальной планировки</w:t>
      </w:r>
      <w:r w:rsidRPr="00BE1476">
        <w:rPr>
          <w:rFonts w:ascii="Times New Roman" w:hAnsi="Times New Roman" w:cs="Times New Roman"/>
          <w:b/>
          <w:sz w:val="21"/>
          <w:szCs w:val="21"/>
        </w:rPr>
        <w:t>.</w:t>
      </w:r>
    </w:p>
    <w:p w:rsidR="00975CE2" w:rsidRPr="00BE1476" w:rsidRDefault="00975CE2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Поверхность площадки покрыта преимущественно мохово-растительным слоем мощностью 0,1 – 0,3 м, древесная растительность распространена в виде участков в северо-западной, центральной и юго-западной части площадки и представлена лиственницей и </w:t>
      </w:r>
      <w:r w:rsidR="00BA61CA" w:rsidRPr="00BE1476">
        <w:rPr>
          <w:rFonts w:ascii="Times New Roman" w:hAnsi="Times New Roman"/>
          <w:sz w:val="21"/>
          <w:szCs w:val="21"/>
        </w:rPr>
        <w:t xml:space="preserve">карликовой </w:t>
      </w:r>
      <w:r w:rsidRPr="00BE1476">
        <w:rPr>
          <w:rFonts w:ascii="Times New Roman" w:hAnsi="Times New Roman"/>
          <w:sz w:val="21"/>
          <w:szCs w:val="21"/>
        </w:rPr>
        <w:t>бе</w:t>
      </w:r>
      <w:r w:rsidR="00BA61CA" w:rsidRPr="00BE1476">
        <w:rPr>
          <w:rFonts w:ascii="Times New Roman" w:hAnsi="Times New Roman"/>
          <w:sz w:val="21"/>
          <w:szCs w:val="21"/>
        </w:rPr>
        <w:t>резой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700887" w:rsidRPr="00BE1476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Организация рельефа проектируемых площадок обеспечивает требования по планировке рельефа с учетом строительных норм и правил, охраны окружающей среды, технологических и противопожарных нормативов. </w:t>
      </w:r>
    </w:p>
    <w:p w:rsidR="00700887" w:rsidRPr="00BE1476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Под проезды и объекты застройки (буровая установка, вертолетная площадка (зона безопасности), склад ГСМ</w:t>
      </w:r>
      <w:r w:rsidR="0009511A" w:rsidRPr="00BE1476">
        <w:rPr>
          <w:rFonts w:ascii="Times New Roman" w:hAnsi="Times New Roman"/>
          <w:sz w:val="21"/>
          <w:szCs w:val="21"/>
        </w:rPr>
        <w:t>, вахтовый поселок, факельный амбар</w:t>
      </w:r>
      <w:r w:rsidRPr="00BE1476">
        <w:rPr>
          <w:rFonts w:ascii="Times New Roman" w:hAnsi="Times New Roman"/>
          <w:sz w:val="21"/>
          <w:szCs w:val="21"/>
        </w:rPr>
        <w:t xml:space="preserve">) производится планировка площадок с допустимыми уклонами. Для отдельно стоящего вспомогательного оборудования выполняется подсыпка для наиболее устойчивого расположения на рельефе местности. Подсыпку выполнять после полного промерзания грунта. </w:t>
      </w:r>
    </w:p>
    <w:p w:rsidR="00700887" w:rsidRDefault="00700887" w:rsidP="00BA61CA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Вертикальная планировка площадки выполняется привозным грунтом (песком), который доставляется </w:t>
      </w:r>
      <w:r w:rsidR="003E0DA6" w:rsidRPr="00BE1476">
        <w:rPr>
          <w:rFonts w:ascii="Times New Roman" w:hAnsi="Times New Roman"/>
          <w:sz w:val="21"/>
          <w:szCs w:val="21"/>
        </w:rPr>
        <w:t>из</w:t>
      </w:r>
      <w:r w:rsidRPr="00BE1476">
        <w:rPr>
          <w:rFonts w:ascii="Times New Roman" w:hAnsi="Times New Roman"/>
          <w:sz w:val="21"/>
          <w:szCs w:val="21"/>
        </w:rPr>
        <w:t xml:space="preserve"> карьера </w:t>
      </w:r>
      <w:r w:rsidR="00A840A2" w:rsidRPr="00BE1476">
        <w:rPr>
          <w:rFonts w:ascii="Times New Roman" w:hAnsi="Times New Roman"/>
          <w:sz w:val="21"/>
          <w:szCs w:val="21"/>
        </w:rPr>
        <w:t>№</w:t>
      </w:r>
      <w:r w:rsidR="006653C2" w:rsidRPr="00BE1476">
        <w:rPr>
          <w:rFonts w:ascii="Times New Roman" w:hAnsi="Times New Roman"/>
          <w:sz w:val="21"/>
          <w:szCs w:val="21"/>
        </w:rPr>
        <w:t xml:space="preserve"> </w:t>
      </w:r>
      <w:r w:rsidR="005E208B" w:rsidRPr="00BE1476">
        <w:rPr>
          <w:rFonts w:ascii="Times New Roman" w:hAnsi="Times New Roman"/>
          <w:sz w:val="21"/>
          <w:szCs w:val="21"/>
        </w:rPr>
        <w:t>76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BE1476" w:rsidRPr="00BE1476" w:rsidRDefault="00BE1476" w:rsidP="00BA61CA">
      <w:pPr>
        <w:pStyle w:val="a5"/>
        <w:rPr>
          <w:rFonts w:ascii="Times New Roman" w:hAnsi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Состав работ</w:t>
      </w:r>
    </w:p>
    <w:p w:rsidR="00700887" w:rsidRPr="00BE1476" w:rsidRDefault="00700887" w:rsidP="00BA61CA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Вертикальная планировка площадки скважины № </w:t>
      </w:r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лицензионного участка </w:t>
      </w:r>
      <w:proofErr w:type="spellStart"/>
      <w:r w:rsidRPr="00BE1476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грунтом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 xml:space="preserve"> предусматривает выполнение 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следующих видов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>работ: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 о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чистка площадки от снега,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выполнение погрузки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транспортировки </w:t>
      </w:r>
      <w:proofErr w:type="spellStart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гидронамывного</w:t>
      </w:r>
      <w:proofErr w:type="spellEnd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песка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от карьера № </w:t>
      </w:r>
      <w:r w:rsidR="005E208B" w:rsidRPr="00BE1476">
        <w:rPr>
          <w:rFonts w:ascii="Times New Roman" w:hAnsi="Times New Roman" w:cs="Times New Roman"/>
          <w:spacing w:val="-1"/>
          <w:sz w:val="21"/>
          <w:szCs w:val="21"/>
        </w:rPr>
        <w:t>76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на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у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. 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№ </w:t>
      </w:r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0D2DDF" w:rsidRPr="00BE1476">
        <w:rPr>
          <w:rFonts w:ascii="Times New Roman" w:hAnsi="Times New Roman" w:cs="Times New Roman"/>
          <w:sz w:val="21"/>
          <w:szCs w:val="21"/>
        </w:rPr>
        <w:t xml:space="preserve"> ЛУ</w:t>
      </w:r>
      <w:r w:rsidR="00975CE2" w:rsidRPr="00BE1476">
        <w:rPr>
          <w:rFonts w:ascii="Times New Roman" w:hAnsi="Times New Roman" w:cs="Times New Roman"/>
          <w:sz w:val="21"/>
          <w:szCs w:val="21"/>
        </w:rPr>
        <w:t xml:space="preserve">,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вертикальная планировка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.</w:t>
      </w:r>
      <w:r w:rsidR="002B611B" w:rsidRPr="00BE1476">
        <w:rPr>
          <w:rFonts w:ascii="Times New Roman" w:hAnsi="Times New Roman" w:cs="Times New Roman"/>
          <w:sz w:val="21"/>
          <w:szCs w:val="21"/>
        </w:rPr>
        <w:t xml:space="preserve"> №</w:t>
      </w:r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0D2DDF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ЛУ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 соответствии с проектной </w:t>
      </w:r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документацией Заказчика</w:t>
      </w:r>
      <w:r w:rsidR="00BE1476" w:rsidRPr="00BE1476">
        <w:rPr>
          <w:rFonts w:ascii="Times New Roman" w:hAnsi="Times New Roman" w:cs="Times New Roman"/>
          <w:spacing w:val="-1"/>
          <w:sz w:val="21"/>
          <w:szCs w:val="21"/>
        </w:rPr>
        <w:t>:</w:t>
      </w:r>
    </w:p>
    <w:p w:rsidR="008A605C" w:rsidRPr="007845C1" w:rsidRDefault="008A605C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759"/>
        <w:gridCol w:w="6898"/>
        <w:gridCol w:w="961"/>
        <w:gridCol w:w="1166"/>
      </w:tblGrid>
      <w:tr w:rsidR="000D1D1C" w:rsidRPr="007845C1" w:rsidTr="00643A6C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8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Состав работ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F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  <w:r w:rsidR="00FA7D21"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7B5A9E" w:rsidRPr="007845C1" w:rsidTr="00643A6C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3F0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Очистка от снега бульдозером мощностью не менее 132 кВт/180 л.с.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97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12,95501</w:t>
            </w:r>
          </w:p>
        </w:tc>
      </w:tr>
      <w:tr w:rsidR="007B5A9E" w:rsidRPr="007845C1" w:rsidTr="00643A6C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Погрузка</w:t>
            </w: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транспортных средств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гидронамывным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грунтом в Карьере №</w:t>
            </w:r>
            <w:r w:rsidR="005E20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 использованием экскаватора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5E208B" w:rsidP="000D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28 977</w:t>
            </w:r>
            <w:r w:rsidR="000D2DDF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7B5A9E" w:rsidRPr="007845C1" w:rsidTr="00643A6C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EC4EDD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Транспортировка и выгрузка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грунта с Карьера №</w:t>
            </w:r>
            <w:r w:rsidR="005E20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до площадки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№ </w:t>
            </w:r>
            <w:r w:rsidR="005E208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E208B">
              <w:rPr>
                <w:rFonts w:ascii="Times New Roman" w:hAnsi="Times New Roman" w:cs="Times New Roman"/>
                <w:b/>
              </w:rPr>
              <w:t>Ичемминского</w:t>
            </w:r>
            <w:proofErr w:type="spellEnd"/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FA7D21" w:rsidRPr="007845C1">
              <w:rPr>
                <w:rFonts w:ascii="Times New Roman" w:hAnsi="Times New Roman" w:cs="Times New Roman"/>
                <w:b/>
                <w:spacing w:val="-1"/>
              </w:rPr>
              <w:t>ЛУ</w:t>
            </w:r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3E0DA6"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¹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  <w:r w:rsidR="003E0DA6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5E208B" w:rsidP="0040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 w:rsidR="000D2DDF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D6E09" w:rsidRPr="007845C1" w:rsidTr="00643A6C">
        <w:trPr>
          <w:trHeight w:val="74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643A6C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ED6E09"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3E0D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насыпи с Куп=0,95 привозным грунтом с перемещением  по площадке в насыпь, в т. 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3E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DE5390" w:rsidRDefault="00ED6E09" w:rsidP="0069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23 149</w:t>
            </w:r>
          </w:p>
        </w:tc>
      </w:tr>
      <w:tr w:rsidR="00ED6E09" w:rsidRPr="007845C1" w:rsidTr="00643A6C">
        <w:trPr>
          <w:trHeight w:val="263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проездов;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</w:tr>
      <w:tr w:rsidR="00ED6E09" w:rsidRPr="007845C1" w:rsidTr="00643A6C">
        <w:trPr>
          <w:trHeight w:val="357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вертолётной площадки;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</w:t>
            </w:r>
          </w:p>
        </w:tc>
      </w:tr>
      <w:tr w:rsidR="00ED6E09" w:rsidRPr="007845C1" w:rsidTr="00643A6C">
        <w:trPr>
          <w:trHeight w:val="3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 ГСМ;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факельного амбара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площадки под буровую установку;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5529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хранения отходов бурения до 11 месяцев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5678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площадка хранения масла;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слив АЦ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ДЭС и котельную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ED6E09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жилого городка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</w:tr>
      <w:tr w:rsidR="00ED6E09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Default="00ED6E09" w:rsidP="00AB6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Default="00ED6E09" w:rsidP="00AB6071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на площадке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Ичемминского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м²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0510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обвалования привозным грунтом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территории площадки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1324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факельного амбара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технологическая площадка временного хранения отходов бурения сроком 11 месяцев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1735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склада ГСМ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АЦ и приямка аварийного пролива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хранения масла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земляной вал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амбара для котельной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геомембраны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 2246-001-56910145-2014 (1,5 мм) в т.ч.: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временного накопления отходов </w:t>
            </w:r>
            <w:proofErr w:type="gram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бурения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под склад ГСМ;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на площадке под ДЭС и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для АЦ с приямком аварийного пролива;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технологической площадке временного накопления отходов бурения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сроком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lastRenderedPageBreak/>
              <w:t>9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гидроизоляции факельного амбара глиноцементной смесью толщиной 0,1 м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минерализованной полосы </w:t>
            </w:r>
            <w:proofErr w:type="gram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=0,5м ,шириной 5 м)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м2/м3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7661/9576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EC4EDD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EC4EDD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объемной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георешетки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высотой 50 мм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EC4EDD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Скрепление металлическими П- образными анкерами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=6 мм,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</w:t>
            </w:r>
            <w:r w:rsidRPr="00EC4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300 – 500 мм полуобоймы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объемной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георешетки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высотой 50 мм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8130B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утеплителя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81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=100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мм. Теплопроводность утеплителя не более 0,03 ВТ/м*К, в т.ч.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2880</w:t>
            </w:r>
          </w:p>
        </w:tc>
      </w:tr>
    </w:tbl>
    <w:p w:rsidR="003E0DA6" w:rsidRPr="007845C1" w:rsidRDefault="003E0DA6" w:rsidP="003F0766">
      <w:pPr>
        <w:pStyle w:val="a5"/>
        <w:rPr>
          <w:rFonts w:ascii="Times New Roman" w:hAnsi="Times New Roman"/>
          <w:b/>
        </w:rPr>
      </w:pPr>
    </w:p>
    <w:p w:rsidR="000C79BF" w:rsidRPr="00BE1476" w:rsidRDefault="00FA7D21" w:rsidP="003F0766">
      <w:pPr>
        <w:pStyle w:val="a5"/>
        <w:rPr>
          <w:rFonts w:ascii="Times New Roman" w:hAnsi="Times New Roman"/>
          <w:b/>
          <w:sz w:val="21"/>
          <w:szCs w:val="21"/>
        </w:rPr>
      </w:pPr>
      <w:r w:rsidRPr="00BE1476">
        <w:rPr>
          <w:rFonts w:ascii="Times New Roman" w:hAnsi="Times New Roman"/>
          <w:b/>
          <w:sz w:val="21"/>
          <w:szCs w:val="21"/>
        </w:rPr>
        <w:t>*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Объемы и </w:t>
      </w:r>
      <w:proofErr w:type="gramStart"/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>расстояния</w:t>
      </w:r>
      <w:proofErr w:type="gramEnd"/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указанные в техническом задании являются ориентировочными</w:t>
      </w:r>
      <w:r w:rsidR="003F0766" w:rsidRPr="00BE1476">
        <w:rPr>
          <w:rFonts w:ascii="Times New Roman" w:hAnsi="Times New Roman"/>
          <w:b/>
          <w:sz w:val="21"/>
          <w:szCs w:val="21"/>
        </w:rPr>
        <w:t>.</w:t>
      </w:r>
    </w:p>
    <w:p w:rsidR="00C95F06" w:rsidRPr="00BE1476" w:rsidRDefault="003E0DA6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Фактические объемы выполнения</w:t>
      </w:r>
      <w:r w:rsidRPr="00BE1476">
        <w:rPr>
          <w:rFonts w:ascii="Arial" w:hAnsi="Arial" w:cs="Arial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 xml:space="preserve">вертикальной планировки площадки скважины № </w:t>
      </w:r>
      <w:r w:rsidR="0069560B" w:rsidRPr="00BE1476">
        <w:rPr>
          <w:rFonts w:ascii="Times New Roman" w:hAnsi="Times New Roman" w:cs="Times New Roman"/>
          <w:sz w:val="21"/>
          <w:szCs w:val="21"/>
        </w:rPr>
        <w:t>3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69560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ЛУ будут предоставлены по получению проектной документации от генерального Заказчика ООО «РН – Ванкор».</w:t>
      </w:r>
    </w:p>
    <w:p w:rsidR="0009511A" w:rsidRPr="00BE1476" w:rsidRDefault="0009511A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</w:p>
    <w:p w:rsidR="00700887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Организация рельефа вертикальной планировки</w:t>
      </w:r>
    </w:p>
    <w:p w:rsidR="002B611B" w:rsidRPr="002B611B" w:rsidRDefault="002B611B" w:rsidP="002B611B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1"/>
          <w:szCs w:val="21"/>
        </w:rPr>
      </w:pP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Результатом работ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будет являться вертикально спланированная площадка скважины №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>3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 </w:t>
      </w:r>
      <w:proofErr w:type="spellStart"/>
      <w:r w:rsidRPr="002B611B">
        <w:rPr>
          <w:rFonts w:ascii="Times New Roman" w:hAnsi="Times New Roman" w:cs="Times New Roman"/>
          <w:color w:val="FF0000"/>
          <w:sz w:val="21"/>
          <w:szCs w:val="21"/>
        </w:rPr>
        <w:t>Ичемминского</w:t>
      </w:r>
      <w:proofErr w:type="spellEnd"/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 лицензионного участка </w:t>
      </w:r>
      <w:proofErr w:type="spellStart"/>
      <w:r w:rsidRPr="002B611B">
        <w:rPr>
          <w:rFonts w:ascii="Times New Roman" w:hAnsi="Times New Roman" w:cs="Times New Roman"/>
          <w:color w:val="FF0000"/>
          <w:sz w:val="21"/>
          <w:szCs w:val="21"/>
        </w:rPr>
        <w:t>гидронамывным</w:t>
      </w:r>
      <w:proofErr w:type="spellEnd"/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 грунтом, полностью соответствующая требованиям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>т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ехнического задания, проектной документации, техническим условиям, схеме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и объему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>отсыпки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 (подтвержденная исполнительной съемкой генерального Заказчика) и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 xml:space="preserve"> пригодная для дальнейшего </w:t>
      </w:r>
      <w:r w:rsidRPr="002B611B">
        <w:rPr>
          <w:rFonts w:ascii="Times New Roman" w:hAnsi="Times New Roman" w:cs="Times New Roman"/>
          <w:color w:val="FF0000"/>
          <w:sz w:val="21"/>
          <w:szCs w:val="21"/>
        </w:rPr>
        <w:t>строительства скважины</w:t>
      </w:r>
      <w:r w:rsidRPr="002B611B">
        <w:rPr>
          <w:rFonts w:ascii="Times New Roman" w:hAnsi="Times New Roman" w:cs="Times New Roman"/>
          <w:sz w:val="21"/>
          <w:szCs w:val="21"/>
        </w:rPr>
        <w:t>.</w:t>
      </w:r>
      <w:bookmarkStart w:id="3" w:name="_GoBack"/>
      <w:bookmarkEnd w:id="3"/>
    </w:p>
    <w:p w:rsidR="00700887" w:rsidRPr="00BE1476" w:rsidRDefault="00700887" w:rsidP="007008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1"/>
          <w:sz w:val="21"/>
          <w:szCs w:val="21"/>
        </w:rPr>
      </w:pPr>
    </w:p>
    <w:p w:rsidR="00910192" w:rsidRPr="00BE1476" w:rsidRDefault="00910192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Вертикальная планировка площадки скважины выполнена в соответствии с требованиями закона от 30 декабря 2009 года №384-ФЗ «Технический регламент о безопасности зданий и сооружений» согласно статьям 8,9,14,18.</w:t>
      </w:r>
    </w:p>
    <w:p w:rsidR="00910192" w:rsidRPr="00BE1476" w:rsidRDefault="00910192" w:rsidP="00BE1476">
      <w:pPr>
        <w:pStyle w:val="a5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До начала работ по вертикальной планировки необходимо выполнить предварительно расчистку территории от кустарников. Предварительно подготовить площадку к вертикальной планировке. После укладки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планировка территории согласно плану организации рельефа (см. графическую часть лист 3 7511320/0206Д-ПЗУ.ГЧ).</w:t>
      </w:r>
    </w:p>
    <w:p w:rsidR="008975DC" w:rsidRPr="00BE1476" w:rsidRDefault="008975DC" w:rsidP="00BE1476">
      <w:pPr>
        <w:pStyle w:val="a5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Для предотвращения возможного загрязнения почвы от аварийного разлива нефтепродуктов под объекты (технологическая площадка временного накопления отходов бурения сроком до 11 месяцев, склад ГСМ, площадка для автоцистерны с приямком аварийного пролива, площадки под котельную установку и ДЭС, буровую установку) предусматривается укладка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геомембранного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полотна.</w:t>
      </w:r>
    </w:p>
    <w:p w:rsidR="00F56C09" w:rsidRPr="00BE1476" w:rsidRDefault="008975DC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Устройство технологической площадки временного хранения отходов бурения до 11 месяцев. 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Для предотвращения </w:t>
      </w:r>
      <w:proofErr w:type="spellStart"/>
      <w:r w:rsidRPr="00BE1476">
        <w:rPr>
          <w:rFonts w:ascii="Times New Roman" w:hAnsi="Times New Roman"/>
          <w:sz w:val="21"/>
          <w:szCs w:val="21"/>
        </w:rPr>
        <w:t>растепления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грунтов, территория под размещение технологической площадки устраивается в насыпи. Высота насыпи прията минимум 1,5 м, так же предусмотрена укладка утеплителя в тело насыпи толщиной 100 мм. Теплопроводность утеплителя принять не более 0,03 ВТ/м*К. Территория под технологическую площадку формируется уклоном 30 промилле.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Основание площадки (дно технологической площ</w:t>
      </w:r>
      <w:r w:rsidR="00513933" w:rsidRPr="00BE1476">
        <w:rPr>
          <w:rFonts w:ascii="Times New Roman" w:hAnsi="Times New Roman"/>
          <w:sz w:val="21"/>
          <w:szCs w:val="21"/>
        </w:rPr>
        <w:t>адки) планируется и укатывается.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Общая глубина технологической площадки составляет 2,85 м, в т.ч. 2,7 м высота заполнения шламом в пространстве обвалования и 0,15 м резервное пространство.</w:t>
      </w:r>
    </w:p>
    <w:p w:rsidR="00513933" w:rsidRPr="00BE1476" w:rsidRDefault="00513933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lastRenderedPageBreak/>
        <w:t xml:space="preserve">Раскладка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на технологической площадке временного хранения отходов бурения до 11 месяцев.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Дно и стенки площадки покрываются слоем гидроизоляционного материала. Кроме того, согласно </w:t>
      </w:r>
      <w:r w:rsidR="008107AD" w:rsidRPr="00BE1476">
        <w:rPr>
          <w:rFonts w:ascii="Times New Roman" w:hAnsi="Times New Roman"/>
          <w:sz w:val="21"/>
          <w:szCs w:val="21"/>
        </w:rPr>
        <w:t>методическим</w:t>
      </w:r>
      <w:r w:rsidRPr="00BE1476">
        <w:rPr>
          <w:rFonts w:ascii="Times New Roman" w:hAnsi="Times New Roman"/>
          <w:sz w:val="21"/>
          <w:szCs w:val="21"/>
        </w:rPr>
        <w:t xml:space="preserve">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площадки предусматривается устройство грунтовых обойм из нетканых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геосентических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 материалов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 плотностью </w:t>
      </w:r>
      <w:r w:rsidR="004D6A2C" w:rsidRPr="00BE1476">
        <w:rPr>
          <w:rFonts w:ascii="Times New Roman" w:hAnsi="Times New Roman"/>
          <w:sz w:val="21"/>
          <w:szCs w:val="21"/>
        </w:rPr>
        <w:t xml:space="preserve">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="004D6A2C" w:rsidRPr="00BE1476">
        <w:rPr>
          <w:rFonts w:ascii="Times New Roman" w:hAnsi="Times New Roman"/>
          <w:sz w:val="21"/>
          <w:szCs w:val="21"/>
        </w:rPr>
        <w:t>00 г/м2;</w:t>
      </w:r>
    </w:p>
    <w:p w:rsidR="004D6A2C" w:rsidRPr="00BE1476" w:rsidRDefault="004D6A2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После отсыпки площадки песком плотностью не менее 1,65 кН/м3 по слою песка и поверху обвалования укладывается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</w:t>
      </w:r>
      <w:r w:rsidR="008107AD" w:rsidRPr="00BE1476">
        <w:rPr>
          <w:rFonts w:ascii="Times New Roman" w:hAnsi="Times New Roman"/>
          <w:sz w:val="21"/>
          <w:szCs w:val="21"/>
        </w:rPr>
        <w:t>а</w:t>
      </w:r>
      <w:r w:rsidRPr="00BE1476">
        <w:rPr>
          <w:rFonts w:ascii="Times New Roman" w:hAnsi="Times New Roman"/>
          <w:sz w:val="21"/>
          <w:szCs w:val="21"/>
        </w:rPr>
        <w:t>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толщиной 1,5 мм.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геомембраной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раскатываются в полотна свободно, без натяжения. Листы соединяется внахлест. Стыки </w:t>
      </w:r>
      <w:r w:rsidR="008107AD" w:rsidRPr="00BE1476">
        <w:rPr>
          <w:rFonts w:ascii="Times New Roman" w:hAnsi="Times New Roman"/>
          <w:sz w:val="21"/>
          <w:szCs w:val="21"/>
        </w:rPr>
        <w:t>полотнищ</w:t>
      </w:r>
      <w:r w:rsidRPr="00BE147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свариваются аппаратом ТН-501 или аналогом. Края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 периметру амбаров крепятся на грунт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шагом 2,5 3- м анкерными Г – образными скобами, длиной 20 см из стали диаметром 8 мм.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По слою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в том числе и на откосах, раскатываются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геотекстильным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полотном. При укладке полотен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его крепление анкерами, диаметром 3 -5 мм и длинной 15 -20 см, с небольшим продольным натяжением, шагом через 10 -15 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Далее следует создание слоя из песчаного грунта.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совместно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геотекстилем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засыпается песком на высоту 0,5 м плотностью 1, 65 кН/м3, слой трамбуется.</w:t>
      </w:r>
    </w:p>
    <w:p w:rsidR="005457E7" w:rsidRPr="00BE1476" w:rsidRDefault="005457E7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На площадке предусмотрена технологическая площадка для временного хранения отходов бурения до 11 месяцев объемом 3915м3.</w:t>
      </w:r>
    </w:p>
    <w:p w:rsidR="005457E7" w:rsidRPr="00BE1476" w:rsidRDefault="005457E7" w:rsidP="00F56C09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технологической площадки временного хранения отходов бурения до 11 месяцев:</w:t>
      </w:r>
    </w:p>
    <w:p w:rsidR="005457E7" w:rsidRPr="00BE1476" w:rsidRDefault="005457E7" w:rsidP="005457E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шламового амбара*: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 </w:t>
      </w:r>
      <w:proofErr w:type="gramStart"/>
      <w:r w:rsidRPr="00BE1476">
        <w:rPr>
          <w:rFonts w:ascii="Times New Roman" w:hAnsi="Times New Roman"/>
          <w:sz w:val="21"/>
          <w:szCs w:val="21"/>
        </w:rPr>
        <w:t>верху:  1802</w:t>
      </w:r>
      <w:proofErr w:type="gramEnd"/>
      <w:r w:rsidRPr="00BE1476">
        <w:rPr>
          <w:rFonts w:ascii="Times New Roman" w:hAnsi="Times New Roman"/>
          <w:sz w:val="21"/>
          <w:szCs w:val="21"/>
        </w:rPr>
        <w:t>,5 м².;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 дну: 1233,8 м².;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глубина амбара 2,85 м, шлам 2,70 м;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уклон откосов внутренний </w:t>
      </w:r>
      <w:proofErr w:type="gramStart"/>
      <w:r w:rsidRPr="00BE1476">
        <w:rPr>
          <w:rFonts w:ascii="Times New Roman" w:hAnsi="Times New Roman"/>
          <w:sz w:val="21"/>
          <w:szCs w:val="21"/>
        </w:rPr>
        <w:t>-  1:1</w:t>
      </w:r>
      <w:proofErr w:type="gramEnd"/>
      <w:r w:rsidRPr="00BE1476">
        <w:rPr>
          <w:rFonts w:ascii="Times New Roman" w:hAnsi="Times New Roman"/>
          <w:sz w:val="21"/>
          <w:szCs w:val="21"/>
        </w:rPr>
        <w:t>, снаружи 1:1,5;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длина по верху: 52,4 м;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ширина по верху: 34,4 м.</w:t>
      </w:r>
    </w:p>
    <w:p w:rsidR="00513933" w:rsidRPr="00BE1476" w:rsidRDefault="00513933" w:rsidP="00513933">
      <w:pPr>
        <w:pStyle w:val="a5"/>
        <w:ind w:firstLine="0"/>
        <w:rPr>
          <w:rFonts w:ascii="Times New Roman" w:hAnsi="Times New Roman"/>
          <w:sz w:val="21"/>
          <w:szCs w:val="21"/>
        </w:rPr>
      </w:pP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Укладка пленки в амбар</w:t>
      </w:r>
      <w:r w:rsidR="006F6E49" w:rsidRPr="00BE1476">
        <w:rPr>
          <w:rFonts w:ascii="Times New Roman" w:hAnsi="Times New Roman"/>
          <w:sz w:val="21"/>
          <w:szCs w:val="21"/>
        </w:rPr>
        <w:t xml:space="preserve"> выполняет</w:t>
      </w:r>
      <w:r w:rsidRPr="00BE1476">
        <w:rPr>
          <w:rFonts w:ascii="Times New Roman" w:hAnsi="Times New Roman"/>
          <w:sz w:val="21"/>
          <w:szCs w:val="21"/>
        </w:rPr>
        <w:t xml:space="preserve">ся с напуском из расчета защиты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что исключит разрушение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атмосферными осадками и неконтролируемый сброс буровых отходов в окружающую среду. После укладки гидроизоляционного материала с целью обеспечения плотности его прилегания на дно амбара следует наносить слой песчаного грунта толщиной не менее 50 см. Кроме того, согласно методическим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технологических площадок временного накопления отходов бурения до 11 месяцев предусматривается устройство грунтовых обойм из нетканых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с плотностью 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Pr="00BE1476">
        <w:rPr>
          <w:rFonts w:ascii="Times New Roman" w:hAnsi="Times New Roman"/>
          <w:sz w:val="21"/>
          <w:szCs w:val="21"/>
        </w:rPr>
        <w:t>00 г/м²</w:t>
      </w:r>
    </w:p>
    <w:p w:rsidR="006922DE" w:rsidRPr="00BE1476" w:rsidRDefault="005457E7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Устройство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факельного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амбара (Амбар ГФУ).</w:t>
      </w:r>
    </w:p>
    <w:p w:rsidR="006922DE" w:rsidRPr="00BE1476" w:rsidRDefault="006922DE" w:rsidP="00B035A8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Место под устройство амбара для сжигания флюидов должно строго соответствовать ситуационному плану и находится на расстоянии </w:t>
      </w:r>
      <w:r w:rsidR="00B035A8" w:rsidRPr="00BE1476">
        <w:rPr>
          <w:rFonts w:ascii="Times New Roman" w:hAnsi="Times New Roman"/>
          <w:sz w:val="21"/>
          <w:szCs w:val="21"/>
        </w:rPr>
        <w:t xml:space="preserve">не менее </w:t>
      </w:r>
      <w:r w:rsidRPr="00BE1476">
        <w:rPr>
          <w:rFonts w:ascii="Times New Roman" w:hAnsi="Times New Roman"/>
          <w:sz w:val="21"/>
          <w:szCs w:val="21"/>
        </w:rPr>
        <w:t>100м от центра скважины. Естественный уклон местности должен иметь направление от центра скважины в сторону амбара.</w:t>
      </w: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На расстоянии 15м от амбара для сжигания флюидов территория должна быть очищена от растительных и порубочных остатков, мха, пней и прочих горючих материалов. Расстояние от отбойного вала амбара для сжигания флюидов до стены леса не менее 20м. для лиственного и не менее 40м до хвойного и смешанного.</w:t>
      </w:r>
    </w:p>
    <w:p w:rsidR="00700887" w:rsidRPr="00BE1476" w:rsidRDefault="006922DE" w:rsidP="00D605A5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Амбар ГФУ изолируется огнеупорным слоем из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глино</w:t>
      </w:r>
      <w:proofErr w:type="spellEnd"/>
      <w:r w:rsidRPr="00BE1476">
        <w:rPr>
          <w:rFonts w:ascii="Times New Roman" w:hAnsi="Times New Roman"/>
          <w:sz w:val="21"/>
          <w:szCs w:val="21"/>
        </w:rPr>
        <w:t>-цементной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смеси толщиной 0,1 м.</w:t>
      </w:r>
    </w:p>
    <w:p w:rsidR="00D605A5" w:rsidRPr="00BE1476" w:rsidRDefault="00D605A5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Приложения к Техническому заданию: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1. Приложение №1 к ТЗ – Схема расположения площадки;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2. Приложение №2</w:t>
      </w:r>
      <w:proofErr w:type="gramStart"/>
      <w:r w:rsidR="00F55E15" w:rsidRPr="00BE1476">
        <w:rPr>
          <w:rFonts w:ascii="Times New Roman" w:hAnsi="Times New Roman" w:cs="Times New Roman"/>
          <w:sz w:val="21"/>
          <w:szCs w:val="21"/>
        </w:rPr>
        <w:t>а,б</w:t>
      </w:r>
      <w:proofErr w:type="gramEnd"/>
      <w:r w:rsidR="00F55E15" w:rsidRPr="00BE1476">
        <w:rPr>
          <w:rFonts w:ascii="Times New Roman" w:hAnsi="Times New Roman" w:cs="Times New Roman"/>
          <w:sz w:val="21"/>
          <w:szCs w:val="21"/>
        </w:rPr>
        <w:t>,в,г</w:t>
      </w:r>
      <w:r w:rsidR="00D605A5"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(</w:t>
      </w:r>
      <w:r w:rsidR="00D605A5" w:rsidRPr="00BE1476">
        <w:rPr>
          <w:rFonts w:ascii="Times New Roman" w:hAnsi="Times New Roman" w:cs="Times New Roman"/>
          <w:sz w:val="21"/>
          <w:szCs w:val="21"/>
        </w:rPr>
        <w:t>4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лист</w:t>
      </w:r>
      <w:r w:rsidR="00D605A5" w:rsidRPr="00BE1476">
        <w:rPr>
          <w:rFonts w:ascii="Times New Roman" w:hAnsi="Times New Roman" w:cs="Times New Roman"/>
          <w:sz w:val="21"/>
          <w:szCs w:val="21"/>
        </w:rPr>
        <w:t>а</w:t>
      </w:r>
      <w:r w:rsidRPr="00BE1476">
        <w:rPr>
          <w:rFonts w:ascii="Times New Roman" w:hAnsi="Times New Roman" w:cs="Times New Roman"/>
          <w:sz w:val="21"/>
          <w:szCs w:val="21"/>
        </w:rPr>
        <w:t>) – Схема планировочной организации земельного участка.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BE1476">
        <w:rPr>
          <w:rFonts w:ascii="Times New Roman" w:hAnsi="Times New Roman" w:cs="Times New Roman"/>
          <w:b/>
          <w:sz w:val="21"/>
          <w:szCs w:val="21"/>
        </w:rPr>
        <w:t>Подрядчик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:   </w:t>
      </w:r>
      <w:proofErr w:type="gramEnd"/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</w:t>
      </w:r>
      <w:r w:rsidRPr="00BE1476">
        <w:rPr>
          <w:rFonts w:ascii="Times New Roman" w:hAnsi="Times New Roman" w:cs="Times New Roman"/>
          <w:b/>
          <w:sz w:val="21"/>
          <w:szCs w:val="21"/>
        </w:rPr>
        <w:t xml:space="preserve">             Заказчик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>:</w:t>
      </w: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</w:t>
      </w:r>
      <w:r w:rsidR="00700887" w:rsidRPr="00BE1476">
        <w:rPr>
          <w:rFonts w:ascii="Times New Roman" w:hAnsi="Times New Roman" w:cs="Times New Roman"/>
          <w:sz w:val="21"/>
          <w:szCs w:val="21"/>
        </w:rPr>
        <w:t xml:space="preserve">                </w:t>
      </w:r>
      <w:proofErr w:type="gramStart"/>
      <w:r w:rsidRPr="00BE1476">
        <w:rPr>
          <w:rFonts w:ascii="Times New Roman" w:hAnsi="Times New Roman" w:cs="Times New Roman"/>
          <w:sz w:val="21"/>
          <w:szCs w:val="21"/>
        </w:rPr>
        <w:t>Генеральный  директор</w:t>
      </w:r>
      <w:proofErr w:type="gramEnd"/>
      <w:r w:rsidRPr="00BE1476">
        <w:rPr>
          <w:rFonts w:ascii="Times New Roman" w:hAnsi="Times New Roman" w:cs="Times New Roman"/>
          <w:sz w:val="21"/>
          <w:szCs w:val="21"/>
        </w:rPr>
        <w:t xml:space="preserve"> ООО «БНГРЭ»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21904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476">
        <w:rPr>
          <w:rFonts w:ascii="Times New Roman" w:hAnsi="Times New Roman" w:cs="Times New Roman"/>
          <w:sz w:val="21"/>
          <w:szCs w:val="21"/>
        </w:rPr>
        <w:t>__________________ /__________</w:t>
      </w:r>
      <w:r w:rsidR="00700887" w:rsidRPr="00BE1476">
        <w:rPr>
          <w:rFonts w:ascii="Times New Roman" w:hAnsi="Times New Roman" w:cs="Times New Roman"/>
          <w:sz w:val="21"/>
          <w:szCs w:val="21"/>
        </w:rPr>
        <w:t>/                       ____________________/</w:t>
      </w:r>
      <w:r w:rsidRPr="00BE1476">
        <w:rPr>
          <w:rFonts w:ascii="Times New Roman" w:hAnsi="Times New Roman" w:cs="Times New Roman"/>
          <w:sz w:val="21"/>
          <w:szCs w:val="21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sectPr w:rsidR="00921904" w:rsidSect="002665C2">
      <w:footerReference w:type="default" r:id="rId10"/>
      <w:footerReference w:type="firs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B35" w:rsidRDefault="007E3B35" w:rsidP="0084211A">
      <w:pPr>
        <w:spacing w:after="0" w:line="240" w:lineRule="auto"/>
      </w:pPr>
      <w:r>
        <w:separator/>
      </w:r>
    </w:p>
  </w:endnote>
  <w:endnote w:type="continuationSeparator" w:id="0">
    <w:p w:rsidR="007E3B35" w:rsidRDefault="007E3B35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1A3" w:rsidRDefault="004971A3" w:rsidP="0084211A">
    <w:pPr>
      <w:pStyle w:val="af"/>
      <w:numPr>
        <w:ilvl w:val="0"/>
        <w:numId w:val="34"/>
      </w:numPr>
    </w:pPr>
    <w:r>
      <w:t>- информация уточняется проектом на строительство.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5C2" w:rsidRDefault="002665C2">
    <w:pPr>
      <w:pStyle w:val="af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B35" w:rsidRDefault="007E3B35" w:rsidP="0084211A">
      <w:pPr>
        <w:spacing w:after="0" w:line="240" w:lineRule="auto"/>
      </w:pPr>
      <w:r>
        <w:separator/>
      </w:r>
    </w:p>
  </w:footnote>
  <w:footnote w:type="continuationSeparator" w:id="0">
    <w:p w:rsidR="007E3B35" w:rsidRDefault="007E3B35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44682E"/>
    <w:multiLevelType w:val="hybridMultilevel"/>
    <w:tmpl w:val="A76EB5EA"/>
    <w:lvl w:ilvl="0" w:tplc="3118C9A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65D8"/>
    <w:multiLevelType w:val="hybridMultilevel"/>
    <w:tmpl w:val="B9B03D9E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0286"/>
    <w:multiLevelType w:val="hybridMultilevel"/>
    <w:tmpl w:val="A3600C06"/>
    <w:lvl w:ilvl="0" w:tplc="808889CC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E8B28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EE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A4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E6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AC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0BF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5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E5B98"/>
    <w:multiLevelType w:val="hybridMultilevel"/>
    <w:tmpl w:val="514C234E"/>
    <w:lvl w:ilvl="0" w:tplc="93A2522C">
      <w:start w:val="1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9" w15:restartNumberingAfterBreak="0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D4954"/>
    <w:multiLevelType w:val="multilevel"/>
    <w:tmpl w:val="E5BCE22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0B0D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AD71A5"/>
    <w:multiLevelType w:val="multilevel"/>
    <w:tmpl w:val="7200E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A0361"/>
    <w:multiLevelType w:val="hybridMultilevel"/>
    <w:tmpl w:val="B9245134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D086367"/>
    <w:multiLevelType w:val="multilevel"/>
    <w:tmpl w:val="D6088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33F3B"/>
    <w:multiLevelType w:val="hybridMultilevel"/>
    <w:tmpl w:val="D3F87DAC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32"/>
  </w:num>
  <w:num w:numId="4">
    <w:abstractNumId w:val="1"/>
  </w:num>
  <w:num w:numId="5">
    <w:abstractNumId w:val="11"/>
  </w:num>
  <w:num w:numId="6">
    <w:abstractNumId w:val="34"/>
  </w:num>
  <w:num w:numId="7">
    <w:abstractNumId w:val="24"/>
  </w:num>
  <w:num w:numId="8">
    <w:abstractNumId w:val="27"/>
  </w:num>
  <w:num w:numId="9">
    <w:abstractNumId w:val="4"/>
  </w:num>
  <w:num w:numId="10">
    <w:abstractNumId w:val="18"/>
  </w:num>
  <w:num w:numId="11">
    <w:abstractNumId w:val="14"/>
  </w:num>
  <w:num w:numId="12">
    <w:abstractNumId w:val="29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23"/>
  </w:num>
  <w:num w:numId="18">
    <w:abstractNumId w:val="0"/>
  </w:num>
  <w:num w:numId="19">
    <w:abstractNumId w:val="10"/>
  </w:num>
  <w:num w:numId="20">
    <w:abstractNumId w:val="2"/>
  </w:num>
  <w:num w:numId="21">
    <w:abstractNumId w:val="25"/>
  </w:num>
  <w:num w:numId="22">
    <w:abstractNumId w:val="31"/>
  </w:num>
  <w:num w:numId="23">
    <w:abstractNumId w:val="12"/>
  </w:num>
  <w:num w:numId="24">
    <w:abstractNumId w:val="30"/>
  </w:num>
  <w:num w:numId="25">
    <w:abstractNumId w:val="7"/>
  </w:num>
  <w:num w:numId="26">
    <w:abstractNumId w:val="16"/>
  </w:num>
  <w:num w:numId="27">
    <w:abstractNumId w:val="21"/>
  </w:num>
  <w:num w:numId="28">
    <w:abstractNumId w:val="17"/>
  </w:num>
  <w:num w:numId="29">
    <w:abstractNumId w:val="3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19"/>
  </w:num>
  <w:num w:numId="34">
    <w:abstractNumId w:val="3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4356A"/>
    <w:rsid w:val="00046C7B"/>
    <w:rsid w:val="00053128"/>
    <w:rsid w:val="000533A6"/>
    <w:rsid w:val="000613B3"/>
    <w:rsid w:val="00080908"/>
    <w:rsid w:val="00081CCF"/>
    <w:rsid w:val="000858FF"/>
    <w:rsid w:val="00085CAF"/>
    <w:rsid w:val="00092052"/>
    <w:rsid w:val="000944A1"/>
    <w:rsid w:val="0009511A"/>
    <w:rsid w:val="00095597"/>
    <w:rsid w:val="000A1B8E"/>
    <w:rsid w:val="000A4348"/>
    <w:rsid w:val="000B1A46"/>
    <w:rsid w:val="000B450A"/>
    <w:rsid w:val="000C1EDF"/>
    <w:rsid w:val="000C79BF"/>
    <w:rsid w:val="000D1D1C"/>
    <w:rsid w:val="000D2DDF"/>
    <w:rsid w:val="000E0DBE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52C5F"/>
    <w:rsid w:val="00167298"/>
    <w:rsid w:val="00167DFC"/>
    <w:rsid w:val="00174EDD"/>
    <w:rsid w:val="00176213"/>
    <w:rsid w:val="00184D1D"/>
    <w:rsid w:val="0019009F"/>
    <w:rsid w:val="00190FDE"/>
    <w:rsid w:val="00192CEE"/>
    <w:rsid w:val="00196D10"/>
    <w:rsid w:val="0019763E"/>
    <w:rsid w:val="001A3ACF"/>
    <w:rsid w:val="001B796B"/>
    <w:rsid w:val="001C096C"/>
    <w:rsid w:val="001C10B6"/>
    <w:rsid w:val="001C1864"/>
    <w:rsid w:val="001C5E3F"/>
    <w:rsid w:val="001C7F77"/>
    <w:rsid w:val="001D057C"/>
    <w:rsid w:val="001D0B1C"/>
    <w:rsid w:val="001D13D5"/>
    <w:rsid w:val="001D5AAA"/>
    <w:rsid w:val="001E3079"/>
    <w:rsid w:val="001E6339"/>
    <w:rsid w:val="001E6721"/>
    <w:rsid w:val="001F1A34"/>
    <w:rsid w:val="001F44D3"/>
    <w:rsid w:val="001F7B0B"/>
    <w:rsid w:val="00203B7F"/>
    <w:rsid w:val="00206D7C"/>
    <w:rsid w:val="002127B7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71ECE"/>
    <w:rsid w:val="00274D84"/>
    <w:rsid w:val="00275D5B"/>
    <w:rsid w:val="002813EE"/>
    <w:rsid w:val="00282764"/>
    <w:rsid w:val="0028592F"/>
    <w:rsid w:val="00287945"/>
    <w:rsid w:val="002919A5"/>
    <w:rsid w:val="0029281A"/>
    <w:rsid w:val="002940A4"/>
    <w:rsid w:val="00295775"/>
    <w:rsid w:val="00296678"/>
    <w:rsid w:val="0029734E"/>
    <w:rsid w:val="002A51CB"/>
    <w:rsid w:val="002A5C28"/>
    <w:rsid w:val="002B3E89"/>
    <w:rsid w:val="002B57E6"/>
    <w:rsid w:val="002B611B"/>
    <w:rsid w:val="002C1DB1"/>
    <w:rsid w:val="002C3754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73A5"/>
    <w:rsid w:val="00342FB9"/>
    <w:rsid w:val="003433F8"/>
    <w:rsid w:val="0034440E"/>
    <w:rsid w:val="0034480B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0679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B6906"/>
    <w:rsid w:val="003C2CD0"/>
    <w:rsid w:val="003C62A5"/>
    <w:rsid w:val="003D262B"/>
    <w:rsid w:val="003D71DC"/>
    <w:rsid w:val="003E0DA6"/>
    <w:rsid w:val="003E48B5"/>
    <w:rsid w:val="003F0766"/>
    <w:rsid w:val="003F1E80"/>
    <w:rsid w:val="003F1F39"/>
    <w:rsid w:val="003F2ABB"/>
    <w:rsid w:val="003F3F5B"/>
    <w:rsid w:val="003F715D"/>
    <w:rsid w:val="00405778"/>
    <w:rsid w:val="004057AA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1872"/>
    <w:rsid w:val="00473CD1"/>
    <w:rsid w:val="004875DC"/>
    <w:rsid w:val="00490A28"/>
    <w:rsid w:val="004971A3"/>
    <w:rsid w:val="004A0FBC"/>
    <w:rsid w:val="004A6FFB"/>
    <w:rsid w:val="004B13BC"/>
    <w:rsid w:val="004B2091"/>
    <w:rsid w:val="004B3CDA"/>
    <w:rsid w:val="004B410A"/>
    <w:rsid w:val="004C12E2"/>
    <w:rsid w:val="004C4865"/>
    <w:rsid w:val="004C51D3"/>
    <w:rsid w:val="004D682B"/>
    <w:rsid w:val="004D6A2C"/>
    <w:rsid w:val="004E1038"/>
    <w:rsid w:val="004E4F5B"/>
    <w:rsid w:val="004E63CB"/>
    <w:rsid w:val="004E673B"/>
    <w:rsid w:val="004E7C4D"/>
    <w:rsid w:val="004F1DD9"/>
    <w:rsid w:val="004F4848"/>
    <w:rsid w:val="00501F33"/>
    <w:rsid w:val="00506ADE"/>
    <w:rsid w:val="00507C08"/>
    <w:rsid w:val="00512FBF"/>
    <w:rsid w:val="00513933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209C"/>
    <w:rsid w:val="00532670"/>
    <w:rsid w:val="005360B0"/>
    <w:rsid w:val="00537070"/>
    <w:rsid w:val="00540AF2"/>
    <w:rsid w:val="005432BB"/>
    <w:rsid w:val="00544FB2"/>
    <w:rsid w:val="005457E7"/>
    <w:rsid w:val="00556A4E"/>
    <w:rsid w:val="00562A5F"/>
    <w:rsid w:val="005718EA"/>
    <w:rsid w:val="00580B3A"/>
    <w:rsid w:val="00583B19"/>
    <w:rsid w:val="005A13B7"/>
    <w:rsid w:val="005A44D4"/>
    <w:rsid w:val="005B16F1"/>
    <w:rsid w:val="005B3342"/>
    <w:rsid w:val="005C247D"/>
    <w:rsid w:val="005C25D3"/>
    <w:rsid w:val="005C53CA"/>
    <w:rsid w:val="005D0828"/>
    <w:rsid w:val="005D1B37"/>
    <w:rsid w:val="005D2F9C"/>
    <w:rsid w:val="005D5F2C"/>
    <w:rsid w:val="005D6D5F"/>
    <w:rsid w:val="005E208B"/>
    <w:rsid w:val="005E3F6C"/>
    <w:rsid w:val="005F2A7B"/>
    <w:rsid w:val="005F462B"/>
    <w:rsid w:val="0060211A"/>
    <w:rsid w:val="00603B08"/>
    <w:rsid w:val="0060523C"/>
    <w:rsid w:val="00606DC9"/>
    <w:rsid w:val="00615E26"/>
    <w:rsid w:val="006261D1"/>
    <w:rsid w:val="0062777F"/>
    <w:rsid w:val="00630B39"/>
    <w:rsid w:val="00631A61"/>
    <w:rsid w:val="00643A6C"/>
    <w:rsid w:val="00643FD6"/>
    <w:rsid w:val="00646BE2"/>
    <w:rsid w:val="00656E40"/>
    <w:rsid w:val="0066152F"/>
    <w:rsid w:val="00662846"/>
    <w:rsid w:val="006653C2"/>
    <w:rsid w:val="00666441"/>
    <w:rsid w:val="006730E6"/>
    <w:rsid w:val="00675E32"/>
    <w:rsid w:val="006760BA"/>
    <w:rsid w:val="00677A88"/>
    <w:rsid w:val="00681626"/>
    <w:rsid w:val="00681926"/>
    <w:rsid w:val="006819F5"/>
    <w:rsid w:val="0068630C"/>
    <w:rsid w:val="006871A1"/>
    <w:rsid w:val="00691E05"/>
    <w:rsid w:val="006922DE"/>
    <w:rsid w:val="00692384"/>
    <w:rsid w:val="006926A7"/>
    <w:rsid w:val="00692C0B"/>
    <w:rsid w:val="00693765"/>
    <w:rsid w:val="0069560B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E6CA6"/>
    <w:rsid w:val="006F0739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1BD1"/>
    <w:rsid w:val="007823A5"/>
    <w:rsid w:val="007845C1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B5A9E"/>
    <w:rsid w:val="007B7BB1"/>
    <w:rsid w:val="007C4AE1"/>
    <w:rsid w:val="007C616C"/>
    <w:rsid w:val="007D22CB"/>
    <w:rsid w:val="007D5417"/>
    <w:rsid w:val="007D7D08"/>
    <w:rsid w:val="007D7F50"/>
    <w:rsid w:val="007E3B35"/>
    <w:rsid w:val="007E6D88"/>
    <w:rsid w:val="007F6757"/>
    <w:rsid w:val="007F746C"/>
    <w:rsid w:val="00800B30"/>
    <w:rsid w:val="0080553E"/>
    <w:rsid w:val="00807C77"/>
    <w:rsid w:val="008107AD"/>
    <w:rsid w:val="00811C3F"/>
    <w:rsid w:val="008130BC"/>
    <w:rsid w:val="00815380"/>
    <w:rsid w:val="00815633"/>
    <w:rsid w:val="008179C4"/>
    <w:rsid w:val="00817B31"/>
    <w:rsid w:val="008206BE"/>
    <w:rsid w:val="0082161E"/>
    <w:rsid w:val="00822A59"/>
    <w:rsid w:val="00832E9C"/>
    <w:rsid w:val="00833F09"/>
    <w:rsid w:val="008346BC"/>
    <w:rsid w:val="008355E0"/>
    <w:rsid w:val="0084211A"/>
    <w:rsid w:val="00843B7B"/>
    <w:rsid w:val="00845D49"/>
    <w:rsid w:val="00847506"/>
    <w:rsid w:val="00850F1E"/>
    <w:rsid w:val="0085338B"/>
    <w:rsid w:val="008536C1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5DC"/>
    <w:rsid w:val="00897BD6"/>
    <w:rsid w:val="008A00E6"/>
    <w:rsid w:val="008A605C"/>
    <w:rsid w:val="008B175E"/>
    <w:rsid w:val="008B5BBD"/>
    <w:rsid w:val="008B7B12"/>
    <w:rsid w:val="008D1C87"/>
    <w:rsid w:val="008D490D"/>
    <w:rsid w:val="008F2DB9"/>
    <w:rsid w:val="008F3D61"/>
    <w:rsid w:val="00900FDD"/>
    <w:rsid w:val="00902525"/>
    <w:rsid w:val="00902938"/>
    <w:rsid w:val="00902ACE"/>
    <w:rsid w:val="00903F3C"/>
    <w:rsid w:val="00904F30"/>
    <w:rsid w:val="00910192"/>
    <w:rsid w:val="00913830"/>
    <w:rsid w:val="009138FB"/>
    <w:rsid w:val="009214C9"/>
    <w:rsid w:val="00921904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66389"/>
    <w:rsid w:val="00967D2C"/>
    <w:rsid w:val="00974900"/>
    <w:rsid w:val="00975CE2"/>
    <w:rsid w:val="00976B08"/>
    <w:rsid w:val="00977F5E"/>
    <w:rsid w:val="0098072D"/>
    <w:rsid w:val="009832A2"/>
    <w:rsid w:val="00983786"/>
    <w:rsid w:val="009846E5"/>
    <w:rsid w:val="009854D2"/>
    <w:rsid w:val="009862EE"/>
    <w:rsid w:val="0098711D"/>
    <w:rsid w:val="00991211"/>
    <w:rsid w:val="00994CC2"/>
    <w:rsid w:val="009965D1"/>
    <w:rsid w:val="00996C61"/>
    <w:rsid w:val="009A5406"/>
    <w:rsid w:val="009A574D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2938"/>
    <w:rsid w:val="009F37A0"/>
    <w:rsid w:val="009F7855"/>
    <w:rsid w:val="00A03D4B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71EB"/>
    <w:rsid w:val="00A55D18"/>
    <w:rsid w:val="00A60842"/>
    <w:rsid w:val="00A64BE4"/>
    <w:rsid w:val="00A66761"/>
    <w:rsid w:val="00A67363"/>
    <w:rsid w:val="00A70096"/>
    <w:rsid w:val="00A71D3E"/>
    <w:rsid w:val="00A754EB"/>
    <w:rsid w:val="00A81450"/>
    <w:rsid w:val="00A840A2"/>
    <w:rsid w:val="00A84A27"/>
    <w:rsid w:val="00A9158D"/>
    <w:rsid w:val="00A9164A"/>
    <w:rsid w:val="00A921BA"/>
    <w:rsid w:val="00A9349A"/>
    <w:rsid w:val="00A97263"/>
    <w:rsid w:val="00AA097E"/>
    <w:rsid w:val="00AA4760"/>
    <w:rsid w:val="00AB2BDD"/>
    <w:rsid w:val="00AB41F9"/>
    <w:rsid w:val="00AC0261"/>
    <w:rsid w:val="00AC225F"/>
    <w:rsid w:val="00AC247F"/>
    <w:rsid w:val="00AC327A"/>
    <w:rsid w:val="00AC65CE"/>
    <w:rsid w:val="00AD0262"/>
    <w:rsid w:val="00AD1642"/>
    <w:rsid w:val="00AE00AC"/>
    <w:rsid w:val="00AE1381"/>
    <w:rsid w:val="00AE75F8"/>
    <w:rsid w:val="00B014F4"/>
    <w:rsid w:val="00B035A8"/>
    <w:rsid w:val="00B050C3"/>
    <w:rsid w:val="00B05A4F"/>
    <w:rsid w:val="00B07818"/>
    <w:rsid w:val="00B07B76"/>
    <w:rsid w:val="00B12E62"/>
    <w:rsid w:val="00B16ADC"/>
    <w:rsid w:val="00B1796A"/>
    <w:rsid w:val="00B20434"/>
    <w:rsid w:val="00B2151B"/>
    <w:rsid w:val="00B22F6B"/>
    <w:rsid w:val="00B25A27"/>
    <w:rsid w:val="00B339A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264"/>
    <w:rsid w:val="00B95681"/>
    <w:rsid w:val="00B958A5"/>
    <w:rsid w:val="00B95C6F"/>
    <w:rsid w:val="00BA0E9C"/>
    <w:rsid w:val="00BA46C2"/>
    <w:rsid w:val="00BA6063"/>
    <w:rsid w:val="00BA61CA"/>
    <w:rsid w:val="00BB270D"/>
    <w:rsid w:val="00BB2E06"/>
    <w:rsid w:val="00BB33DF"/>
    <w:rsid w:val="00BB5005"/>
    <w:rsid w:val="00BB73C1"/>
    <w:rsid w:val="00BC1418"/>
    <w:rsid w:val="00BC30AB"/>
    <w:rsid w:val="00BD1D30"/>
    <w:rsid w:val="00BE1476"/>
    <w:rsid w:val="00BE6C02"/>
    <w:rsid w:val="00C04578"/>
    <w:rsid w:val="00C04BD1"/>
    <w:rsid w:val="00C11EED"/>
    <w:rsid w:val="00C17975"/>
    <w:rsid w:val="00C2444C"/>
    <w:rsid w:val="00C27740"/>
    <w:rsid w:val="00C27CAF"/>
    <w:rsid w:val="00C31028"/>
    <w:rsid w:val="00C32ED7"/>
    <w:rsid w:val="00C41B8E"/>
    <w:rsid w:val="00C5194B"/>
    <w:rsid w:val="00C5247D"/>
    <w:rsid w:val="00C52594"/>
    <w:rsid w:val="00C60EDA"/>
    <w:rsid w:val="00C638E6"/>
    <w:rsid w:val="00C64B2E"/>
    <w:rsid w:val="00C676D8"/>
    <w:rsid w:val="00C677D0"/>
    <w:rsid w:val="00C77FD7"/>
    <w:rsid w:val="00C8104D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F0D24"/>
    <w:rsid w:val="00CF2B05"/>
    <w:rsid w:val="00CF736C"/>
    <w:rsid w:val="00CF7F00"/>
    <w:rsid w:val="00D00ABB"/>
    <w:rsid w:val="00D00C87"/>
    <w:rsid w:val="00D0108E"/>
    <w:rsid w:val="00D033C1"/>
    <w:rsid w:val="00D03DF9"/>
    <w:rsid w:val="00D06517"/>
    <w:rsid w:val="00D12CA8"/>
    <w:rsid w:val="00D13E16"/>
    <w:rsid w:val="00D13ED4"/>
    <w:rsid w:val="00D14398"/>
    <w:rsid w:val="00D14EB2"/>
    <w:rsid w:val="00D2394D"/>
    <w:rsid w:val="00D241D3"/>
    <w:rsid w:val="00D267BB"/>
    <w:rsid w:val="00D30E86"/>
    <w:rsid w:val="00D317FF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63F5"/>
    <w:rsid w:val="00D9358A"/>
    <w:rsid w:val="00D95677"/>
    <w:rsid w:val="00D95AD2"/>
    <w:rsid w:val="00D965A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30A5"/>
    <w:rsid w:val="00DE4A64"/>
    <w:rsid w:val="00DE5390"/>
    <w:rsid w:val="00DE67B4"/>
    <w:rsid w:val="00DF0D09"/>
    <w:rsid w:val="00DF0E46"/>
    <w:rsid w:val="00DF375D"/>
    <w:rsid w:val="00DF4AAB"/>
    <w:rsid w:val="00DF7333"/>
    <w:rsid w:val="00E015DF"/>
    <w:rsid w:val="00E10E19"/>
    <w:rsid w:val="00E14E21"/>
    <w:rsid w:val="00E15B94"/>
    <w:rsid w:val="00E2432D"/>
    <w:rsid w:val="00E25CD0"/>
    <w:rsid w:val="00E26DA7"/>
    <w:rsid w:val="00E3203C"/>
    <w:rsid w:val="00E324DF"/>
    <w:rsid w:val="00E3385D"/>
    <w:rsid w:val="00E339C7"/>
    <w:rsid w:val="00E3553E"/>
    <w:rsid w:val="00E430C2"/>
    <w:rsid w:val="00E4395F"/>
    <w:rsid w:val="00E44366"/>
    <w:rsid w:val="00E474F7"/>
    <w:rsid w:val="00E479E2"/>
    <w:rsid w:val="00E512C6"/>
    <w:rsid w:val="00E51556"/>
    <w:rsid w:val="00E5381F"/>
    <w:rsid w:val="00E572E8"/>
    <w:rsid w:val="00E60697"/>
    <w:rsid w:val="00E637F8"/>
    <w:rsid w:val="00E658D0"/>
    <w:rsid w:val="00E716C4"/>
    <w:rsid w:val="00E71A7B"/>
    <w:rsid w:val="00E723C4"/>
    <w:rsid w:val="00E74B98"/>
    <w:rsid w:val="00E76BE0"/>
    <w:rsid w:val="00E80F5C"/>
    <w:rsid w:val="00E85794"/>
    <w:rsid w:val="00E90EF2"/>
    <w:rsid w:val="00E9567E"/>
    <w:rsid w:val="00E95BC0"/>
    <w:rsid w:val="00E96A41"/>
    <w:rsid w:val="00EA62F7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4EDD"/>
    <w:rsid w:val="00EC5BDD"/>
    <w:rsid w:val="00EC6B23"/>
    <w:rsid w:val="00ED1251"/>
    <w:rsid w:val="00ED3E08"/>
    <w:rsid w:val="00ED5271"/>
    <w:rsid w:val="00ED6E09"/>
    <w:rsid w:val="00EE5F5A"/>
    <w:rsid w:val="00EE69C2"/>
    <w:rsid w:val="00EF080C"/>
    <w:rsid w:val="00EF3EFE"/>
    <w:rsid w:val="00EF4E11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524D"/>
    <w:rsid w:val="00F156F7"/>
    <w:rsid w:val="00F2239B"/>
    <w:rsid w:val="00F27D6F"/>
    <w:rsid w:val="00F33B0D"/>
    <w:rsid w:val="00F371C7"/>
    <w:rsid w:val="00F40730"/>
    <w:rsid w:val="00F412F2"/>
    <w:rsid w:val="00F44AA7"/>
    <w:rsid w:val="00F44E30"/>
    <w:rsid w:val="00F53D6E"/>
    <w:rsid w:val="00F55E15"/>
    <w:rsid w:val="00F56C09"/>
    <w:rsid w:val="00F5732A"/>
    <w:rsid w:val="00F61272"/>
    <w:rsid w:val="00F6196B"/>
    <w:rsid w:val="00F6532D"/>
    <w:rsid w:val="00F7423D"/>
    <w:rsid w:val="00F82152"/>
    <w:rsid w:val="00F826E5"/>
    <w:rsid w:val="00F829B4"/>
    <w:rsid w:val="00F841FC"/>
    <w:rsid w:val="00F90165"/>
    <w:rsid w:val="00F9389A"/>
    <w:rsid w:val="00F97022"/>
    <w:rsid w:val="00F9774F"/>
    <w:rsid w:val="00FA35DC"/>
    <w:rsid w:val="00FA5D54"/>
    <w:rsid w:val="00FA7D21"/>
    <w:rsid w:val="00FB29CB"/>
    <w:rsid w:val="00FB40C6"/>
    <w:rsid w:val="00FB5744"/>
    <w:rsid w:val="00FB5ABE"/>
    <w:rsid w:val="00FC13F1"/>
    <w:rsid w:val="00FC24A4"/>
    <w:rsid w:val="00FD0C76"/>
    <w:rsid w:val="00FD2A8A"/>
    <w:rsid w:val="00FD45C6"/>
    <w:rsid w:val="00FD60B9"/>
    <w:rsid w:val="00FD76B1"/>
    <w:rsid w:val="00FE1813"/>
    <w:rsid w:val="00FE2002"/>
    <w:rsid w:val="00FE2156"/>
    <w:rsid w:val="00FE4D04"/>
    <w:rsid w:val="00FE78D3"/>
    <w:rsid w:val="00FF2C53"/>
    <w:rsid w:val="00FF2C8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88A2F6"/>
  <w15:docId w15:val="{0B5F642D-EAE0-48F2-8303-B877776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4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887"/>
    <w:pPr>
      <w:keepNext/>
      <w:widowControl w:val="0"/>
      <w:numPr>
        <w:ilvl w:val="1"/>
        <w:numId w:val="24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4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4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E6"/>
    <w:pPr>
      <w:ind w:left="720"/>
      <w:contextualSpacing/>
    </w:pPr>
  </w:style>
  <w:style w:type="table" w:styleId="a4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5">
    <w:name w:val="Обычный текст с отступом"/>
    <w:basedOn w:val="a"/>
    <w:link w:val="a6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6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5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7">
    <w:name w:val="Шапка таблицы"/>
    <w:basedOn w:val="a"/>
    <w:next w:val="a"/>
    <w:link w:val="a8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8">
    <w:name w:val="Шапка таблицы Знак"/>
    <w:basedOn w:val="a0"/>
    <w:link w:val="a7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99"/>
    <w:rsid w:val="001D13D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7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7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29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4211A"/>
  </w:style>
  <w:style w:type="paragraph" w:styleId="af">
    <w:name w:val="footer"/>
    <w:basedOn w:val="a"/>
    <w:link w:val="af0"/>
    <w:uiPriority w:val="99"/>
    <w:semiHidden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2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88CA9-DB61-4664-9C2E-532CBC1D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6669</TotalTime>
  <Pages>5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Аливанов Иван Игоревич</cp:lastModifiedBy>
  <cp:revision>321</cp:revision>
  <cp:lastPrinted>2022-11-30T10:59:00Z</cp:lastPrinted>
  <dcterms:created xsi:type="dcterms:W3CDTF">2012-10-01T06:25:00Z</dcterms:created>
  <dcterms:modified xsi:type="dcterms:W3CDTF">2023-08-16T10:56:00Z</dcterms:modified>
</cp:coreProperties>
</file>