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B09A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25359C" w:rsidRPr="00C37352" w:rsidRDefault="004537DA" w:rsidP="00CD2190">
      <w:pPr>
        <w:pStyle w:val="a8"/>
        <w:numPr>
          <w:ilvl w:val="0"/>
          <w:numId w:val="16"/>
        </w:numPr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 xml:space="preserve">Предмет </w:t>
      </w:r>
      <w:r w:rsidRPr="00810652">
        <w:rPr>
          <w:rFonts w:ascii="Times New Roman" w:hAnsi="Times New Roman"/>
          <w:iCs/>
          <w:sz w:val="24"/>
          <w:u w:val="single"/>
        </w:rPr>
        <w:t>закупки:</w:t>
      </w:r>
      <w:r w:rsidRPr="00810652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10652" w:rsidRPr="00810652">
        <w:rPr>
          <w:rFonts w:ascii="Times New Roman" w:hAnsi="Times New Roman"/>
          <w:iCs/>
          <w:sz w:val="24"/>
        </w:rPr>
        <w:t>Поставка лакокрасочных материалов в 202</w:t>
      </w:r>
      <w:r w:rsidR="00810652">
        <w:rPr>
          <w:rFonts w:ascii="Times New Roman" w:hAnsi="Times New Roman"/>
          <w:iCs/>
          <w:sz w:val="24"/>
        </w:rPr>
        <w:t>5</w:t>
      </w:r>
      <w:r w:rsidR="00810652" w:rsidRPr="00810652">
        <w:rPr>
          <w:rFonts w:ascii="Times New Roman" w:hAnsi="Times New Roman"/>
          <w:iCs/>
          <w:sz w:val="24"/>
        </w:rPr>
        <w:t xml:space="preserve"> году</w:t>
      </w:r>
      <w:r w:rsidR="00810652">
        <w:rPr>
          <w:rFonts w:ascii="Times New Roman" w:hAnsi="Times New Roman"/>
          <w:iCs/>
          <w:sz w:val="24"/>
        </w:rPr>
        <w:t>.</w:t>
      </w:r>
    </w:p>
    <w:p w:rsidR="006B09AF" w:rsidRPr="00C37352" w:rsidRDefault="006B09AF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</w:rPr>
      </w:pPr>
      <w:r w:rsidRPr="00810652">
        <w:rPr>
          <w:rFonts w:ascii="Times New Roman" w:hAnsi="Times New Roman"/>
          <w:iCs/>
          <w:sz w:val="24"/>
          <w:szCs w:val="24"/>
          <w:u w:val="single"/>
        </w:rPr>
        <w:t>Инициатор</w:t>
      </w: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="00C37352"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- ООО «БНГРЭ»)</w:t>
      </w:r>
    </w:p>
    <w:p w:rsidR="0025359C" w:rsidRDefault="0025359C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0D2942" w:rsidRPr="000D2942" w:rsidRDefault="000D2942" w:rsidP="00CD2190">
      <w:pPr>
        <w:pStyle w:val="a8"/>
        <w:spacing w:after="0" w:line="18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600AD0" w:rsidRPr="00922F56" w:rsidRDefault="00C37352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>:</w:t>
      </w:r>
      <w:r w:rsidRPr="00C37352">
        <w:rPr>
          <w:rFonts w:ascii="Times New Roman" w:hAnsi="Times New Roman"/>
          <w:u w:val="single"/>
        </w:rPr>
        <w:t xml:space="preserve"> </w:t>
      </w:r>
      <w:r w:rsidR="00600AD0" w:rsidRPr="00C3735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00AD0"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Богучанский р-н, пос. Таежный. </w:t>
      </w:r>
    </w:p>
    <w:p w:rsidR="00600AD0" w:rsidRDefault="00600AD0" w:rsidP="00CD2190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37352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984"/>
        <w:gridCol w:w="1984"/>
      </w:tblGrid>
      <w:tr w:rsidR="005E507C" w:rsidRPr="003008B7" w:rsidTr="005E507C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5E507C" w:rsidRPr="005001B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5E507C" w:rsidRPr="005001B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5E507C" w:rsidRPr="005001B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5E507C" w:rsidRPr="005001B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5E507C" w:rsidRPr="005001B5" w:rsidRDefault="005E507C" w:rsidP="00CD2190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b/>
                <w:sz w:val="20"/>
                <w:szCs w:val="20"/>
              </w:rPr>
              <w:t>Срок поставки</w:t>
            </w:r>
          </w:p>
        </w:tc>
      </w:tr>
      <w:tr w:rsidR="00F914E7" w:rsidRPr="003008B7" w:rsidTr="005001B5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F914E7" w:rsidRPr="005001B5" w:rsidRDefault="00F914E7" w:rsidP="00F914E7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F914E7" w:rsidRPr="005001B5" w:rsidRDefault="00F914E7" w:rsidP="00F914E7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Краска антикоррозийная серебрянка</w:t>
            </w:r>
          </w:p>
        </w:tc>
        <w:tc>
          <w:tcPr>
            <w:tcW w:w="1189" w:type="dxa"/>
            <w:shd w:val="clear" w:color="auto" w:fill="auto"/>
          </w:tcPr>
          <w:p w:rsidR="00F914E7" w:rsidRPr="005001B5" w:rsidRDefault="00F914E7" w:rsidP="00F91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914E7" w:rsidRPr="005001B5" w:rsidRDefault="00F914E7" w:rsidP="00F914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914E7" w:rsidRPr="005001B5" w:rsidRDefault="00642724" w:rsidP="00F914E7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Май</w:t>
            </w:r>
            <w:r w:rsidR="00F914E7"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F914E7"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="00F914E7"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Краска ОС-12-03 белая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желтый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красно-коричневый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  <w:vAlign w:val="center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красный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синий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 ОС-12-03 цвет черный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Краска </w:t>
            </w:r>
            <w:proofErr w:type="spellStart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органосиликатная</w:t>
            </w:r>
            <w:proofErr w:type="spellEnd"/>
            <w:r w:rsidRPr="005001B5">
              <w:rPr>
                <w:rFonts w:ascii="Times New Roman" w:hAnsi="Times New Roman" w:cs="Times New Roman"/>
                <w:sz w:val="20"/>
                <w:szCs w:val="20"/>
              </w:rPr>
              <w:t xml:space="preserve"> ОС-52-20 цвет синий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  <w:tr w:rsidR="00642724" w:rsidRPr="003008B7" w:rsidTr="005001B5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642724" w:rsidRPr="005001B5" w:rsidRDefault="00642724" w:rsidP="00642724">
            <w:pPr>
              <w:pStyle w:val="a8"/>
              <w:numPr>
                <w:ilvl w:val="0"/>
                <w:numId w:val="30"/>
              </w:numPr>
              <w:spacing w:after="0" w:line="18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39" w:type="dxa"/>
            <w:shd w:val="clear" w:color="auto" w:fill="auto"/>
          </w:tcPr>
          <w:p w:rsidR="00642724" w:rsidRPr="005001B5" w:rsidRDefault="00642724" w:rsidP="00642724">
            <w:pPr>
              <w:spacing w:after="0" w:line="18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Растворитель марка 646</w:t>
            </w:r>
          </w:p>
        </w:tc>
        <w:tc>
          <w:tcPr>
            <w:tcW w:w="1189" w:type="dxa"/>
            <w:shd w:val="clear" w:color="auto" w:fill="auto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42724" w:rsidRPr="005001B5" w:rsidRDefault="00642724" w:rsidP="006427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984" w:type="dxa"/>
            <w:shd w:val="clear" w:color="auto" w:fill="auto"/>
            <w:noWrap/>
          </w:tcPr>
          <w:p w:rsidR="00642724" w:rsidRPr="005001B5" w:rsidRDefault="00642724" w:rsidP="00642724">
            <w:pPr>
              <w:jc w:val="center"/>
              <w:rPr>
                <w:sz w:val="20"/>
                <w:szCs w:val="20"/>
              </w:rPr>
            </w:pP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Май 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val="en-US"/>
              </w:rPr>
              <w:t>202</w:t>
            </w:r>
            <w:r w:rsidRPr="005001B5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</w:tr>
    </w:tbl>
    <w:p w:rsidR="006725EE" w:rsidRDefault="006725E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>Лот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 xml:space="preserve"> явля</w:t>
      </w:r>
      <w:r w:rsidR="00057BAA">
        <w:rPr>
          <w:rFonts w:ascii="Times New Roman" w:hAnsi="Times New Roman"/>
          <w:color w:val="000000"/>
          <w:spacing w:val="-3"/>
          <w:sz w:val="24"/>
          <w:szCs w:val="24"/>
        </w:rPr>
        <w:t>е</w:t>
      </w:r>
      <w:r w:rsidR="005F0725">
        <w:rPr>
          <w:rFonts w:ascii="Times New Roman" w:hAnsi="Times New Roman"/>
          <w:color w:val="000000"/>
          <w:spacing w:val="-3"/>
          <w:sz w:val="24"/>
          <w:szCs w:val="24"/>
        </w:rPr>
        <w:t>тся</w:t>
      </w:r>
      <w:r w:rsidRPr="006725EE">
        <w:rPr>
          <w:rFonts w:ascii="Times New Roman" w:hAnsi="Times New Roman"/>
          <w:color w:val="000000"/>
          <w:spacing w:val="-3"/>
          <w:sz w:val="24"/>
          <w:szCs w:val="24"/>
        </w:rPr>
        <w:t xml:space="preserve"> 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995C0B">
        <w:rPr>
          <w:rFonts w:ascii="Times New Roman" w:hAnsi="Times New Roman"/>
          <w:color w:val="000000"/>
          <w:spacing w:val="-3"/>
          <w:sz w:val="24"/>
          <w:szCs w:val="24"/>
        </w:rPr>
        <w:t>.</w:t>
      </w:r>
    </w:p>
    <w:p w:rsidR="00A24417" w:rsidRPr="006725EE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4017DB" w:rsidRDefault="009B326E" w:rsidP="00CD2190">
      <w:pPr>
        <w:pStyle w:val="a8"/>
        <w:numPr>
          <w:ilvl w:val="0"/>
          <w:numId w:val="16"/>
        </w:numPr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Заявленная стоимость </w:t>
      </w:r>
      <w:r w:rsidR="00374C6E">
        <w:rPr>
          <w:rFonts w:ascii="Times New Roman" w:hAnsi="Times New Roman"/>
          <w:color w:val="000000"/>
          <w:spacing w:val="-3"/>
          <w:sz w:val="24"/>
          <w:szCs w:val="24"/>
        </w:rPr>
        <w:t xml:space="preserve">поставки </w:t>
      </w:r>
      <w:r w:rsidR="004017DB" w:rsidRPr="004017DB">
        <w:rPr>
          <w:rFonts w:ascii="Times New Roman" w:hAnsi="Times New Roman"/>
          <w:color w:val="000000"/>
          <w:spacing w:val="-3"/>
          <w:sz w:val="24"/>
          <w:szCs w:val="24"/>
        </w:rPr>
        <w:t>должна включать расходы поставщика в соответствии с базисными условиями поставки DAP (ИНКОТЕРМС 2010).</w:t>
      </w:r>
    </w:p>
    <w:p w:rsidR="00A24417" w:rsidRDefault="00A24417" w:rsidP="00CD2190">
      <w:pPr>
        <w:pStyle w:val="a8"/>
        <w:spacing w:line="18" w:lineRule="atLeast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7F35C4" w:rsidRPr="005F0725" w:rsidRDefault="007F35C4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18" w:lineRule="atLeast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5F072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:rsidR="007F35C4" w:rsidRDefault="007F35C4" w:rsidP="00CD2190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5F0725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0A6BD0" w:rsidRDefault="000A6BD0" w:rsidP="000A6BD0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</w:p>
    <w:p w:rsidR="00CD2190" w:rsidRPr="000A6BD0" w:rsidRDefault="00CD2190" w:rsidP="000A6BD0">
      <w:pPr>
        <w:spacing w:after="0" w:line="18" w:lineRule="atLeast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0A6BD0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CF16A2" w:rsidRPr="000A6BD0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5</w:t>
      </w:r>
      <w:r w:rsidRPr="000A6BD0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% от количества. Оплате подлежит количество фактически поставленного Товара. В данном случае дополнительное соглашение не требуется.</w:t>
      </w:r>
    </w:p>
    <w:p w:rsidR="005001B5" w:rsidRDefault="005001B5" w:rsidP="005001B5">
      <w:pPr>
        <w:pStyle w:val="a8"/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7710" w:rsidRPr="0023706B" w:rsidRDefault="00137710" w:rsidP="00CD2190">
      <w:pPr>
        <w:pStyle w:val="a8"/>
        <w:numPr>
          <w:ilvl w:val="0"/>
          <w:numId w:val="16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5001B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23706B">
        <w:rPr>
          <w:rFonts w:ascii="Times New Roman" w:hAnsi="Times New Roman"/>
          <w:sz w:val="24"/>
          <w:szCs w:val="24"/>
          <w:u w:val="single"/>
        </w:rPr>
        <w:t>«БНГРЭ»: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CE18C7" w:rsidRPr="00CE18C7" w:rsidRDefault="00CE18C7" w:rsidP="00CD2190">
      <w:pPr>
        <w:spacing w:after="0" w:line="18" w:lineRule="atLeast"/>
        <w:ind w:left="357"/>
        <w:jc w:val="both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Почтовый адрес: 660135, Россия, Красноярский край, Красноярск г., Весны ул., д. 3 «А», БЦ «Весна», 13 эт.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Тел./факс: (391)274-86-81/(391)274-86-82 </w:t>
      </w:r>
    </w:p>
    <w:p w:rsidR="003E1010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ОГРН 103 880 000 3990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t xml:space="preserve">ИНН/КПП 880 101 1908/246 501 001 </w:t>
      </w:r>
    </w:p>
    <w:p w:rsidR="00CE18C7" w:rsidRPr="00CE18C7" w:rsidRDefault="00CE18C7" w:rsidP="00CD2190">
      <w:pPr>
        <w:spacing w:after="0" w:line="18" w:lineRule="atLeast"/>
        <w:ind w:left="357"/>
        <w:rPr>
          <w:rFonts w:ascii="Times New Roman" w:hAnsi="Times New Roman"/>
          <w:sz w:val="24"/>
          <w:szCs w:val="24"/>
        </w:rPr>
      </w:pPr>
      <w:r w:rsidRPr="00CE18C7">
        <w:rPr>
          <w:rFonts w:ascii="Times New Roman" w:hAnsi="Times New Roman"/>
          <w:sz w:val="24"/>
          <w:szCs w:val="24"/>
        </w:rPr>
        <w:lastRenderedPageBreak/>
        <w:t xml:space="preserve">ОКПО 47833210 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bCs/>
          <w:iCs/>
          <w:sz w:val="24"/>
          <w:szCs w:val="24"/>
        </w:rPr>
      </w:pPr>
      <w:r w:rsidRPr="00CE18C7">
        <w:rPr>
          <w:rFonts w:ascii="Times New Roman" w:hAnsi="Times New Roman"/>
          <w:bCs/>
          <w:iCs/>
          <w:sz w:val="24"/>
          <w:szCs w:val="24"/>
        </w:rPr>
        <w:t>Банк ВТБ (ПАО)  в г. Красноярске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БИК: 040407777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к/с: 30101810200000000777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р/с: 40702810300030003480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ИНН/КПП: 7702070139/246602001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ОГРН: 1027739609391</w:t>
      </w:r>
    </w:p>
    <w:p w:rsidR="00CE18C7" w:rsidRPr="00CE18C7" w:rsidRDefault="00CE18C7" w:rsidP="00CE18C7">
      <w:pPr>
        <w:spacing w:after="0" w:line="240" w:lineRule="auto"/>
        <w:ind w:left="357"/>
        <w:rPr>
          <w:rFonts w:ascii="Times New Roman" w:hAnsi="Times New Roman"/>
          <w:iCs/>
          <w:sz w:val="24"/>
          <w:szCs w:val="24"/>
        </w:rPr>
      </w:pPr>
      <w:r w:rsidRPr="00CE18C7">
        <w:rPr>
          <w:rFonts w:ascii="Times New Roman" w:hAnsi="Times New Roman"/>
          <w:iCs/>
          <w:sz w:val="24"/>
          <w:szCs w:val="24"/>
        </w:rPr>
        <w:t>Код ОКПО: 21864130</w:t>
      </w:r>
    </w:p>
    <w:p w:rsidR="000A6BD0" w:rsidRDefault="000A6BD0" w:rsidP="000A6BD0">
      <w:pPr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F1FA4" w:rsidRPr="00820AEC" w:rsidRDefault="00137710" w:rsidP="000A6BD0">
      <w:pPr>
        <w:spacing w:after="0"/>
        <w:rPr>
          <w:rFonts w:ascii="Times New Roman" w:hAnsi="Times New Roman"/>
          <w:iCs/>
          <w:u w:val="single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1"/>
        <w:tblW w:w="9923" w:type="dxa"/>
        <w:tblInd w:w="108" w:type="dxa"/>
        <w:tblLook w:val="04A0" w:firstRow="1" w:lastRow="0" w:firstColumn="1" w:lastColumn="0" w:noHBand="0" w:noVBand="1"/>
      </w:tblPr>
      <w:tblGrid>
        <w:gridCol w:w="601"/>
        <w:gridCol w:w="3806"/>
        <w:gridCol w:w="2687"/>
        <w:gridCol w:w="1273"/>
        <w:gridCol w:w="1556"/>
      </w:tblGrid>
      <w:tr w:rsidR="00AF309C" w:rsidRPr="00C37352" w:rsidTr="001512B0">
        <w:trPr>
          <w:cantSplit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7F35C4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AF309C" w:rsidRPr="00C37352" w:rsidTr="001512B0">
        <w:trPr>
          <w:cantSplit/>
          <w:trHeight w:val="283"/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F309C" w:rsidRPr="00C37352" w:rsidRDefault="00AF309C" w:rsidP="00C373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C37352">
              <w:rPr>
                <w:rFonts w:ascii="Times New Roman" w:hAnsi="Times New Roman"/>
                <w:b/>
                <w:iCs/>
              </w:rPr>
              <w:t>5</w:t>
            </w:r>
          </w:p>
        </w:tc>
      </w:tr>
      <w:tr w:rsidR="009915DC" w:rsidRPr="00C37352" w:rsidTr="009915DC">
        <w:trPr>
          <w:cantSplit/>
          <w:trHeight w:val="7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DC" w:rsidRPr="009915DC" w:rsidRDefault="009915DC" w:rsidP="009915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</w:p>
        </w:tc>
      </w:tr>
      <w:tr w:rsidR="009915DC" w:rsidRPr="00C37352" w:rsidTr="00C613DD">
        <w:trPr>
          <w:cantSplit/>
          <w:trHeight w:val="98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DC" w:rsidRPr="00C37352" w:rsidRDefault="00DC5747" w:rsidP="009915D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5DC" w:rsidRPr="00EB5198" w:rsidRDefault="009915DC" w:rsidP="009915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198">
              <w:rPr>
                <w:rFonts w:ascii="Times New Roman" w:hAnsi="Times New Roman" w:cs="Times New Roman"/>
                <w:b/>
                <w:sz w:val="20"/>
                <w:szCs w:val="20"/>
              </w:rPr>
              <w:t>Краска антикоррозийная серебрянка</w:t>
            </w:r>
          </w:p>
          <w:p w:rsidR="009915DC" w:rsidRPr="00273366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ГОСТ 5631-79 </w:t>
            </w:r>
          </w:p>
          <w:p w:rsidR="009915DC" w:rsidRPr="00273366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>Поверхность нанесения: металл</w:t>
            </w:r>
          </w:p>
          <w:p w:rsidR="009915DC" w:rsidRPr="00273366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>Для наружных работ.</w:t>
            </w:r>
          </w:p>
          <w:p w:rsidR="009915DC" w:rsidRPr="00273366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Время высыхания не более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73366">
              <w:rPr>
                <w:rFonts w:ascii="Times New Roman" w:hAnsi="Times New Roman" w:cs="Times New Roman"/>
                <w:sz w:val="20"/>
                <w:szCs w:val="20"/>
              </w:rPr>
              <w:t xml:space="preserve"> ч.</w:t>
            </w:r>
          </w:p>
          <w:p w:rsidR="009915DC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Укрывистость</w:t>
            </w:r>
            <w:proofErr w:type="spellEnd"/>
            <w:r w:rsidRPr="00B045DA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высуш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045DA">
              <w:rPr>
                <w:rFonts w:ascii="Times New Roman" w:hAnsi="Times New Roman" w:cs="Times New Roman"/>
                <w:sz w:val="20"/>
                <w:szCs w:val="20"/>
              </w:rPr>
              <w:t>ой пленки не более 30 г/м*</w:t>
            </w:r>
          </w:p>
          <w:p w:rsidR="009915DC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9915DC" w:rsidRDefault="009915DC" w:rsidP="009915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1 мм</w:t>
            </w:r>
          </w:p>
          <w:p w:rsidR="009915DC" w:rsidRPr="00C93030" w:rsidRDefault="009915DC" w:rsidP="009915DC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л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915DC" w:rsidRPr="004C3E37" w:rsidRDefault="009915DC" w:rsidP="00C613DD">
            <w:pPr>
              <w:jc w:val="center"/>
            </w:pPr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4C3E37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DC" w:rsidRPr="00200DDA" w:rsidRDefault="009915DC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5DC" w:rsidRPr="00200DDA" w:rsidRDefault="009915DC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160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C37352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Pr="00570213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>Краска ОС-12-03 бел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C37352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желтый 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красно-коричневый 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2.5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Pr="00570213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красный</w:t>
            </w: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2.6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Pr="00570213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синий</w:t>
            </w:r>
            <w:r w:rsidRPr="0057021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2.7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Pr="00570213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ОС-12-03 цвет черный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службы не менее 10 лет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Эластичность: не более 3 мм без трещин по длине изгиба</w:t>
            </w:r>
          </w:p>
          <w:p w:rsidR="00DC5747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показатель адгезии – до 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2</w:t>
            </w:r>
            <w:r w:rsidRPr="008F1CD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 xml:space="preserve"> балл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ов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613DD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2.8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Pr="00570213" w:rsidRDefault="00DC5747" w:rsidP="00DC57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Краска </w:t>
            </w:r>
            <w:proofErr w:type="spellStart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органосиликатная</w:t>
            </w:r>
            <w:proofErr w:type="spellEnd"/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ОС-52-20 цвет синий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 xml:space="preserve">Эмаль </w:t>
            </w:r>
            <w:proofErr w:type="spellStart"/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органосиликатная</w:t>
            </w:r>
            <w:proofErr w:type="spellEnd"/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Поверхность нанесения: металл, кирпич, бетон.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Степень глянца: глянцевая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Для наружных и внутренних работ.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Время высыхания не более 3 ч.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Срок службы не менее 10 лет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Эластичность: не более 3 мм без трещин по длине изгиба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Массовая доля нелетучих веществ: 45-55 %</w:t>
            </w:r>
          </w:p>
          <w:p w:rsidR="00DC5747" w:rsidRPr="00DC5747" w:rsidRDefault="00DC5747" w:rsidP="00DC5747">
            <w:pPr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показатель адгезии – не более 1 балла</w:t>
            </w:r>
          </w:p>
          <w:p w:rsidR="00DC5747" w:rsidRPr="00C93030" w:rsidRDefault="00DC5747" w:rsidP="00DC5747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DC5747">
              <w:rPr>
                <w:rFonts w:ascii="Times New Roman" w:hAnsi="Times New Roman" w:cs="Times New Roman"/>
                <w:sz w:val="20"/>
                <w:shd w:val="clear" w:color="auto" w:fill="FFFFFF"/>
              </w:rPr>
              <w:t>Фасовка не более 25 кг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DC5747" w:rsidRPr="00C37352" w:rsidTr="00CE6DD5">
        <w:trPr>
          <w:cantSplit/>
          <w:trHeight w:val="82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Default="00DC5747" w:rsidP="00DC574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2.9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C5747" w:rsidRDefault="00DC5747" w:rsidP="00CE6D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747">
              <w:rPr>
                <w:rFonts w:ascii="Times New Roman" w:hAnsi="Times New Roman" w:cs="Times New Roman"/>
                <w:b/>
                <w:sz w:val="20"/>
                <w:szCs w:val="20"/>
              </w:rPr>
              <w:t>Растворитель марка 646</w:t>
            </w:r>
          </w:p>
          <w:p w:rsidR="00DC5747" w:rsidRPr="00C93030" w:rsidRDefault="00134051" w:rsidP="00CE6DD5">
            <w:pP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BFBFB"/>
              </w:rPr>
            </w:pPr>
            <w:r w:rsidRPr="00134051">
              <w:rPr>
                <w:rFonts w:ascii="Times New Roman" w:hAnsi="Times New Roman" w:cs="Times New Roman"/>
                <w:sz w:val="20"/>
                <w:shd w:val="clear" w:color="auto" w:fill="FFFFFF"/>
              </w:rPr>
              <w:t>ГОСТ 18188-72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5747" w:rsidRDefault="00DC5747" w:rsidP="00C613DD">
            <w:pPr>
              <w:jc w:val="center"/>
            </w:pPr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Полное заполнение информации, </w:t>
            </w:r>
            <w:proofErr w:type="gramStart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>согласно формы</w:t>
            </w:r>
            <w:proofErr w:type="gramEnd"/>
            <w:r w:rsidRPr="0079041E">
              <w:rPr>
                <w:rFonts w:ascii="Times New Roman" w:hAnsi="Times New Roman" w:cs="Times New Roman"/>
                <w:sz w:val="20"/>
                <w:szCs w:val="20"/>
              </w:rPr>
              <w:t xml:space="preserve"> 6т (ГОСТ/ТУ; технические характеристики; производитель)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747" w:rsidRPr="00200DDA" w:rsidRDefault="00DC5747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200DDA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C613DD">
        <w:trPr>
          <w:cantSplit/>
          <w:trHeight w:val="112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2.</w:t>
            </w:r>
            <w:r w:rsidR="00DC5747">
              <w:rPr>
                <w:rFonts w:ascii="Times New Roman" w:hAnsi="Times New Roman"/>
                <w:iCs/>
              </w:rPr>
              <w:t>1</w:t>
            </w:r>
            <w:r w:rsidR="00057BAA">
              <w:rPr>
                <w:rFonts w:ascii="Times New Roman" w:hAnsi="Times New Roman"/>
                <w:iCs/>
              </w:rPr>
              <w:t>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464342" w:rsidRDefault="00F345BC" w:rsidP="00F345B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 поставляется новым, не бывший в эксплуатации.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464342" w:rsidRDefault="00F345BC" w:rsidP="00C613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  <w:tr w:rsidR="00F345BC" w:rsidRPr="00C37352" w:rsidTr="00C613DD">
        <w:trPr>
          <w:cantSplit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F345B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  <w:r w:rsidRPr="00C37352">
              <w:rPr>
                <w:rFonts w:ascii="Times New Roman" w:hAnsi="Times New Roman"/>
                <w:iCs/>
              </w:rPr>
              <w:t>.</w:t>
            </w:r>
            <w:r w:rsidR="00DC5747">
              <w:rPr>
                <w:rFonts w:ascii="Times New Roman" w:hAnsi="Times New Roman"/>
                <w:iCs/>
              </w:rPr>
              <w:t>1</w:t>
            </w:r>
            <w:r w:rsidR="00057BAA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45BC" w:rsidRPr="00464342" w:rsidRDefault="00F345BC" w:rsidP="000A6B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</w:t>
            </w:r>
            <w:r w:rsidR="000A6BD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45BC" w:rsidRPr="000D2942" w:rsidRDefault="00F345BC" w:rsidP="00C613DD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4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Да/Нет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BC" w:rsidRPr="00C37352" w:rsidRDefault="00F345BC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</w:rPr>
            </w:pPr>
            <w:r w:rsidRPr="00C37352">
              <w:rPr>
                <w:rFonts w:ascii="Times New Roman" w:hAnsi="Times New Roman"/>
                <w:iCs/>
              </w:rPr>
              <w:t>Да</w:t>
            </w:r>
          </w:p>
        </w:tc>
      </w:tr>
    </w:tbl>
    <w:p w:rsidR="000F4F39" w:rsidRPr="00001D17" w:rsidRDefault="00EE6FED" w:rsidP="000A6B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</w:rPr>
      </w:pPr>
      <w:r>
        <w:rPr>
          <w:rFonts w:ascii="Times New Roman" w:hAnsi="Times New Roman" w:cs="Times New Roman"/>
          <w:b/>
          <w:i/>
          <w:iCs/>
          <w:sz w:val="24"/>
        </w:rPr>
        <w:t>3. Требования к контрагенту</w:t>
      </w:r>
    </w:p>
    <w:tbl>
      <w:tblPr>
        <w:tblStyle w:val="af1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977"/>
        <w:gridCol w:w="1417"/>
        <w:gridCol w:w="1559"/>
      </w:tblGrid>
      <w:tr w:rsidR="002E7316" w:rsidRPr="00001D17" w:rsidTr="005001B5">
        <w:trPr>
          <w:cantSplit/>
          <w:tblHeader/>
        </w:trPr>
        <w:tc>
          <w:tcPr>
            <w:tcW w:w="56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№ п/п</w:t>
            </w:r>
          </w:p>
        </w:tc>
        <w:tc>
          <w:tcPr>
            <w:tcW w:w="3402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Требование (параметр оценки)</w:t>
            </w:r>
          </w:p>
        </w:tc>
        <w:tc>
          <w:tcPr>
            <w:tcW w:w="297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Единица измерения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:rsidR="002E7316" w:rsidRPr="00001D17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</w:rPr>
            </w:pPr>
            <w:r w:rsidRPr="00001D17">
              <w:rPr>
                <w:rFonts w:ascii="Times New Roman" w:hAnsi="Times New Roman"/>
                <w:b/>
                <w:iCs/>
              </w:rPr>
              <w:t>Условия соответствия</w:t>
            </w:r>
          </w:p>
        </w:tc>
      </w:tr>
      <w:tr w:rsidR="00EC70CF" w:rsidRPr="00001D17" w:rsidTr="005001B5">
        <w:trPr>
          <w:cantSplit/>
          <w:trHeight w:val="1264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EC70CF" w:rsidRPr="00107198" w:rsidRDefault="00EC70CF" w:rsidP="000143B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82662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82662B" w:rsidRPr="0082662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(форма 3) без протокола разногласий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EC70CF" w:rsidRPr="00107198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417" w:type="dxa"/>
            <w:vAlign w:val="center"/>
          </w:tcPr>
          <w:p w:rsidR="00EC70CF" w:rsidRPr="00107198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107198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5001B5">
        <w:trPr>
          <w:cantSplit/>
          <w:trHeight w:val="1966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:rsidR="00EC70CF" w:rsidRPr="00550D39" w:rsidRDefault="00EC70CF" w:rsidP="00EC70CF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</w:t>
            </w:r>
            <w:r w:rsidR="004437A2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EC70CF" w:rsidRPr="00550D39" w:rsidRDefault="0082662B" w:rsidP="00C613D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>Референц</w:t>
            </w:r>
            <w:proofErr w:type="spellEnd"/>
            <w:r w:rsidRPr="0082662B">
              <w:rPr>
                <w:rFonts w:ascii="Times New Roman" w:hAnsi="Times New Roman"/>
                <w:iCs/>
                <w:sz w:val="20"/>
                <w:szCs w:val="20"/>
              </w:rPr>
              <w:t>-лист с указанием поставок и наименований контрагентов за последние 2 года</w:t>
            </w:r>
          </w:p>
        </w:tc>
        <w:tc>
          <w:tcPr>
            <w:tcW w:w="1417" w:type="dxa"/>
            <w:vAlign w:val="center"/>
          </w:tcPr>
          <w:p w:rsidR="00EC70CF" w:rsidRDefault="00EC70CF" w:rsidP="00C613D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Default="00EC70CF" w:rsidP="00C613D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C70CF" w:rsidRPr="00001D17" w:rsidTr="000A6BD0">
        <w:trPr>
          <w:cantSplit/>
          <w:trHeight w:val="221"/>
        </w:trPr>
        <w:tc>
          <w:tcPr>
            <w:tcW w:w="567" w:type="dxa"/>
          </w:tcPr>
          <w:p w:rsidR="00EC70CF" w:rsidRPr="00DC227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:rsidR="00EC70CF" w:rsidRPr="003750BB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EC70CF" w:rsidRPr="00550D39" w:rsidRDefault="00EC70CF" w:rsidP="00EC70C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EC70CF" w:rsidRPr="00001D17" w:rsidTr="000A6BD0">
        <w:trPr>
          <w:cantSplit/>
          <w:trHeight w:val="2688"/>
        </w:trPr>
        <w:tc>
          <w:tcPr>
            <w:tcW w:w="567" w:type="dxa"/>
          </w:tcPr>
          <w:p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977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EC70CF" w:rsidRPr="00001D17" w:rsidTr="005001B5">
        <w:tc>
          <w:tcPr>
            <w:tcW w:w="567" w:type="dxa"/>
          </w:tcPr>
          <w:p w:rsidR="00EC70CF" w:rsidRPr="00CE18C7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70CF" w:rsidRDefault="00EC70CF" w:rsidP="00EC7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EC70CF" w:rsidRPr="00550D39" w:rsidRDefault="00EC70CF" w:rsidP="00EC70C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977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59" w:type="dxa"/>
            <w:vAlign w:val="center"/>
          </w:tcPr>
          <w:p w:rsidR="00EC70CF" w:rsidRPr="00550D39" w:rsidRDefault="00EC70CF" w:rsidP="00C613D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Pr="00B07CED" w:rsidRDefault="000F4F39" w:rsidP="000A6B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5001B5" w:rsidRDefault="005001B5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0A6BD0" w:rsidRDefault="000A6BD0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bookmarkStart w:id="3" w:name="_GoBack"/>
      <w:bookmarkEnd w:id="3"/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877D7A" w:rsidRPr="00B07CED" w:rsidRDefault="005524CA" w:rsidP="0017156D">
      <w:pPr>
        <w:autoSpaceDE w:val="0"/>
        <w:autoSpaceDN w:val="0"/>
        <w:adjustRightInd w:val="0"/>
        <w:jc w:val="both"/>
        <w:rPr>
          <w:sz w:val="24"/>
        </w:rPr>
      </w:pPr>
      <w:r>
        <w:rPr>
          <w:rFonts w:ascii="Times New Roman" w:hAnsi="Times New Roman" w:cs="Times New Roman"/>
          <w:iCs/>
          <w:sz w:val="24"/>
        </w:rPr>
        <w:t>Н</w:t>
      </w:r>
      <w:r w:rsidR="009C3FB0">
        <w:rPr>
          <w:rFonts w:ascii="Times New Roman" w:hAnsi="Times New Roman" w:cs="Times New Roman"/>
          <w:iCs/>
          <w:sz w:val="24"/>
        </w:rPr>
        <w:t xml:space="preserve">ачальник </w:t>
      </w:r>
      <w:proofErr w:type="spellStart"/>
      <w:r w:rsidR="005F0725">
        <w:rPr>
          <w:rFonts w:ascii="Times New Roman" w:hAnsi="Times New Roman" w:cs="Times New Roman"/>
          <w:iCs/>
          <w:sz w:val="24"/>
        </w:rPr>
        <w:t>СВиОМ</w:t>
      </w:r>
      <w:proofErr w:type="spellEnd"/>
      <w:r w:rsidR="00FA500A">
        <w:rPr>
          <w:rFonts w:ascii="Times New Roman" w:hAnsi="Times New Roman" w:cs="Times New Roman"/>
          <w:iCs/>
          <w:sz w:val="24"/>
        </w:rPr>
        <w:t xml:space="preserve">     </w:t>
      </w:r>
      <w:r w:rsidR="009C3FB0">
        <w:rPr>
          <w:rFonts w:ascii="Times New Roman" w:hAnsi="Times New Roman" w:cs="Times New Roman"/>
          <w:iCs/>
          <w:sz w:val="24"/>
        </w:rPr>
        <w:t xml:space="preserve">                                      </w:t>
      </w:r>
      <w:r w:rsidR="0070466A">
        <w:rPr>
          <w:rFonts w:ascii="Times New Roman" w:hAnsi="Times New Roman" w:cs="Times New Roman"/>
          <w:iCs/>
          <w:sz w:val="24"/>
        </w:rPr>
        <w:t xml:space="preserve">            </w:t>
      </w:r>
      <w:r w:rsidR="009C3FB0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 w:rsidR="0070466A">
        <w:rPr>
          <w:rFonts w:ascii="Times New Roman" w:hAnsi="Times New Roman" w:cs="Times New Roman"/>
          <w:iCs/>
          <w:sz w:val="24"/>
        </w:rPr>
        <w:t>И.И.</w:t>
      </w:r>
      <w:r w:rsidR="00FA500A">
        <w:rPr>
          <w:rFonts w:ascii="Times New Roman" w:hAnsi="Times New Roman" w:cs="Times New Roman"/>
          <w:iCs/>
          <w:sz w:val="24"/>
        </w:rPr>
        <w:t xml:space="preserve"> </w:t>
      </w:r>
      <w:r w:rsidR="0070466A">
        <w:rPr>
          <w:rFonts w:ascii="Times New Roman" w:hAnsi="Times New Roman" w:cs="Times New Roman"/>
          <w:iCs/>
          <w:sz w:val="24"/>
        </w:rPr>
        <w:t>Аливанов</w:t>
      </w:r>
      <w:r w:rsidR="00A24417">
        <w:rPr>
          <w:rFonts w:ascii="Times New Roman" w:hAnsi="Times New Roman" w:cs="Times New Roman"/>
          <w:iCs/>
          <w:sz w:val="24"/>
        </w:rPr>
        <w:t xml:space="preserve"> </w:t>
      </w:r>
    </w:p>
    <w:sectPr w:rsidR="00877D7A" w:rsidRPr="00B07CED" w:rsidSect="00CD2190">
      <w:pgSz w:w="11906" w:h="16838"/>
      <w:pgMar w:top="426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503" w:rsidRDefault="000D7503" w:rsidP="005D229A">
      <w:pPr>
        <w:spacing w:after="0" w:line="240" w:lineRule="auto"/>
      </w:pPr>
      <w:r>
        <w:separator/>
      </w:r>
    </w:p>
  </w:endnote>
  <w:endnote w:type="continuationSeparator" w:id="0">
    <w:p w:rsidR="000D7503" w:rsidRDefault="000D750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503" w:rsidRDefault="000D7503" w:rsidP="005D229A">
      <w:pPr>
        <w:spacing w:after="0" w:line="240" w:lineRule="auto"/>
      </w:pPr>
      <w:r>
        <w:separator/>
      </w:r>
    </w:p>
  </w:footnote>
  <w:footnote w:type="continuationSeparator" w:id="0">
    <w:p w:rsidR="000D7503" w:rsidRDefault="000D7503" w:rsidP="005D229A">
      <w:pPr>
        <w:spacing w:after="0" w:line="240" w:lineRule="auto"/>
      </w:pPr>
      <w:r>
        <w:continuationSeparator/>
      </w:r>
    </w:p>
  </w:footnote>
  <w:footnote w:id="1">
    <w:p w:rsidR="00EC70CF" w:rsidRPr="006B6E20" w:rsidRDefault="00EC70CF" w:rsidP="003C6747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A42043" w:rsidRPr="006B6E20">
        <w:rPr>
          <w:rFonts w:ascii="Times New Roman" w:hAnsi="Times New Roman" w:cs="Times New Roman"/>
        </w:rPr>
        <w:t>решения,</w:t>
      </w:r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CE443A"/>
    <w:multiLevelType w:val="hybridMultilevel"/>
    <w:tmpl w:val="602E31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21A60314"/>
    <w:multiLevelType w:val="hybridMultilevel"/>
    <w:tmpl w:val="07EC55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E1398"/>
    <w:multiLevelType w:val="hybridMultilevel"/>
    <w:tmpl w:val="07EC55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7017E7"/>
    <w:multiLevelType w:val="hybridMultilevel"/>
    <w:tmpl w:val="40BA7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25"/>
  </w:num>
  <w:num w:numId="5">
    <w:abstractNumId w:val="13"/>
  </w:num>
  <w:num w:numId="6">
    <w:abstractNumId w:val="12"/>
  </w:num>
  <w:num w:numId="7">
    <w:abstractNumId w:val="15"/>
  </w:num>
  <w:num w:numId="8">
    <w:abstractNumId w:val="10"/>
  </w:num>
  <w:num w:numId="9">
    <w:abstractNumId w:val="14"/>
  </w:num>
  <w:num w:numId="10">
    <w:abstractNumId w:val="0"/>
  </w:num>
  <w:num w:numId="11">
    <w:abstractNumId w:val="24"/>
  </w:num>
  <w:num w:numId="12">
    <w:abstractNumId w:val="17"/>
  </w:num>
  <w:num w:numId="13">
    <w:abstractNumId w:val="4"/>
  </w:num>
  <w:num w:numId="14">
    <w:abstractNumId w:val="11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6"/>
  </w:num>
  <w:num w:numId="21">
    <w:abstractNumId w:val="19"/>
  </w:num>
  <w:num w:numId="22">
    <w:abstractNumId w:val="21"/>
  </w:num>
  <w:num w:numId="23">
    <w:abstractNumId w:val="18"/>
  </w:num>
  <w:num w:numId="24">
    <w:abstractNumId w:val="8"/>
  </w:num>
  <w:num w:numId="25">
    <w:abstractNumId w:val="20"/>
  </w:num>
  <w:num w:numId="26">
    <w:abstractNumId w:val="9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</w:num>
  <w:num w:numId="29">
    <w:abstractNumId w:val="3"/>
  </w:num>
  <w:num w:numId="30">
    <w:abstractNumId w:val="6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D17"/>
    <w:rsid w:val="00001F8D"/>
    <w:rsid w:val="000054D2"/>
    <w:rsid w:val="00006300"/>
    <w:rsid w:val="000076C7"/>
    <w:rsid w:val="000143B6"/>
    <w:rsid w:val="00021C73"/>
    <w:rsid w:val="000336A7"/>
    <w:rsid w:val="00041C34"/>
    <w:rsid w:val="000534FB"/>
    <w:rsid w:val="00054070"/>
    <w:rsid w:val="00056E22"/>
    <w:rsid w:val="00057BAA"/>
    <w:rsid w:val="000615CB"/>
    <w:rsid w:val="000627D3"/>
    <w:rsid w:val="00062F72"/>
    <w:rsid w:val="000661D5"/>
    <w:rsid w:val="00067896"/>
    <w:rsid w:val="00070A40"/>
    <w:rsid w:val="00071B18"/>
    <w:rsid w:val="00071FB1"/>
    <w:rsid w:val="00075811"/>
    <w:rsid w:val="0008475A"/>
    <w:rsid w:val="00084D6F"/>
    <w:rsid w:val="00093C41"/>
    <w:rsid w:val="00095218"/>
    <w:rsid w:val="000A00A4"/>
    <w:rsid w:val="000A06CE"/>
    <w:rsid w:val="000A4FC6"/>
    <w:rsid w:val="000A6795"/>
    <w:rsid w:val="000A6BD0"/>
    <w:rsid w:val="000B0767"/>
    <w:rsid w:val="000B2C60"/>
    <w:rsid w:val="000B2D90"/>
    <w:rsid w:val="000B2DDA"/>
    <w:rsid w:val="000B7219"/>
    <w:rsid w:val="000B7D68"/>
    <w:rsid w:val="000C04DB"/>
    <w:rsid w:val="000C0937"/>
    <w:rsid w:val="000C2B47"/>
    <w:rsid w:val="000C3C6E"/>
    <w:rsid w:val="000C3F65"/>
    <w:rsid w:val="000C465D"/>
    <w:rsid w:val="000C7B66"/>
    <w:rsid w:val="000C7E0A"/>
    <w:rsid w:val="000D2942"/>
    <w:rsid w:val="000D340D"/>
    <w:rsid w:val="000D637D"/>
    <w:rsid w:val="000D7503"/>
    <w:rsid w:val="000F237A"/>
    <w:rsid w:val="000F4F39"/>
    <w:rsid w:val="000F4F52"/>
    <w:rsid w:val="000F6EEF"/>
    <w:rsid w:val="000F7249"/>
    <w:rsid w:val="000F7A65"/>
    <w:rsid w:val="001003A9"/>
    <w:rsid w:val="0010504C"/>
    <w:rsid w:val="00105530"/>
    <w:rsid w:val="001068D3"/>
    <w:rsid w:val="00107A7D"/>
    <w:rsid w:val="001106B5"/>
    <w:rsid w:val="00115B23"/>
    <w:rsid w:val="001248A9"/>
    <w:rsid w:val="00133AEF"/>
    <w:rsid w:val="00134051"/>
    <w:rsid w:val="00137710"/>
    <w:rsid w:val="0014098D"/>
    <w:rsid w:val="00145F9C"/>
    <w:rsid w:val="001512B0"/>
    <w:rsid w:val="001515C8"/>
    <w:rsid w:val="00167641"/>
    <w:rsid w:val="0017156D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0AF3"/>
    <w:rsid w:val="001B2A4A"/>
    <w:rsid w:val="001B7E27"/>
    <w:rsid w:val="001C274F"/>
    <w:rsid w:val="001C498B"/>
    <w:rsid w:val="001D0D14"/>
    <w:rsid w:val="001D317B"/>
    <w:rsid w:val="001D7740"/>
    <w:rsid w:val="001E2989"/>
    <w:rsid w:val="001E2E56"/>
    <w:rsid w:val="001F1638"/>
    <w:rsid w:val="001F207E"/>
    <w:rsid w:val="001F71E0"/>
    <w:rsid w:val="00200DDA"/>
    <w:rsid w:val="002027F2"/>
    <w:rsid w:val="002058CC"/>
    <w:rsid w:val="00206C92"/>
    <w:rsid w:val="0020757E"/>
    <w:rsid w:val="00210780"/>
    <w:rsid w:val="00211015"/>
    <w:rsid w:val="00212645"/>
    <w:rsid w:val="00221EE2"/>
    <w:rsid w:val="002243BE"/>
    <w:rsid w:val="00230F7F"/>
    <w:rsid w:val="0023198B"/>
    <w:rsid w:val="00232014"/>
    <w:rsid w:val="00235AFE"/>
    <w:rsid w:val="0023694C"/>
    <w:rsid w:val="00237E9C"/>
    <w:rsid w:val="00241BA0"/>
    <w:rsid w:val="00241C06"/>
    <w:rsid w:val="0025359C"/>
    <w:rsid w:val="00264E49"/>
    <w:rsid w:val="002770FA"/>
    <w:rsid w:val="0028266F"/>
    <w:rsid w:val="002826D6"/>
    <w:rsid w:val="00284A01"/>
    <w:rsid w:val="002928D0"/>
    <w:rsid w:val="002943DB"/>
    <w:rsid w:val="00297CBE"/>
    <w:rsid w:val="002A1A32"/>
    <w:rsid w:val="002A2792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D3823"/>
    <w:rsid w:val="002E0385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32DA"/>
    <w:rsid w:val="0033539F"/>
    <w:rsid w:val="00337481"/>
    <w:rsid w:val="00342AA1"/>
    <w:rsid w:val="003451D2"/>
    <w:rsid w:val="0034700F"/>
    <w:rsid w:val="003538F3"/>
    <w:rsid w:val="00354D0E"/>
    <w:rsid w:val="003554A2"/>
    <w:rsid w:val="003579DC"/>
    <w:rsid w:val="00361222"/>
    <w:rsid w:val="00364CC1"/>
    <w:rsid w:val="00372466"/>
    <w:rsid w:val="003732EB"/>
    <w:rsid w:val="00374C6E"/>
    <w:rsid w:val="00386B25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E1010"/>
    <w:rsid w:val="003E17A8"/>
    <w:rsid w:val="003E2BB2"/>
    <w:rsid w:val="003E35D2"/>
    <w:rsid w:val="003E6721"/>
    <w:rsid w:val="003E6B59"/>
    <w:rsid w:val="003F287E"/>
    <w:rsid w:val="003F6C90"/>
    <w:rsid w:val="004017DB"/>
    <w:rsid w:val="004036B5"/>
    <w:rsid w:val="0040591E"/>
    <w:rsid w:val="0041111C"/>
    <w:rsid w:val="00415E53"/>
    <w:rsid w:val="004224B6"/>
    <w:rsid w:val="00422AA1"/>
    <w:rsid w:val="0043029C"/>
    <w:rsid w:val="00430314"/>
    <w:rsid w:val="004437A2"/>
    <w:rsid w:val="004469DA"/>
    <w:rsid w:val="004537DA"/>
    <w:rsid w:val="004602B3"/>
    <w:rsid w:val="00460DBA"/>
    <w:rsid w:val="00464342"/>
    <w:rsid w:val="00464BA2"/>
    <w:rsid w:val="00464F41"/>
    <w:rsid w:val="0047744B"/>
    <w:rsid w:val="00491B22"/>
    <w:rsid w:val="00497E74"/>
    <w:rsid w:val="004A0079"/>
    <w:rsid w:val="004A64C9"/>
    <w:rsid w:val="004B03E5"/>
    <w:rsid w:val="004B24A7"/>
    <w:rsid w:val="004B3D51"/>
    <w:rsid w:val="004B3DAE"/>
    <w:rsid w:val="004B473E"/>
    <w:rsid w:val="004B501B"/>
    <w:rsid w:val="004C0A64"/>
    <w:rsid w:val="004C3103"/>
    <w:rsid w:val="004C7599"/>
    <w:rsid w:val="004D4A44"/>
    <w:rsid w:val="004D7305"/>
    <w:rsid w:val="004D7E07"/>
    <w:rsid w:val="004F00AF"/>
    <w:rsid w:val="004F60A1"/>
    <w:rsid w:val="004F71EC"/>
    <w:rsid w:val="004F73C7"/>
    <w:rsid w:val="004F7CD0"/>
    <w:rsid w:val="005001B5"/>
    <w:rsid w:val="00500225"/>
    <w:rsid w:val="005011F0"/>
    <w:rsid w:val="005040AB"/>
    <w:rsid w:val="00505B2A"/>
    <w:rsid w:val="0050662B"/>
    <w:rsid w:val="00520F80"/>
    <w:rsid w:val="00525110"/>
    <w:rsid w:val="00531FDC"/>
    <w:rsid w:val="00534E77"/>
    <w:rsid w:val="00537E8C"/>
    <w:rsid w:val="00541CE7"/>
    <w:rsid w:val="0054337E"/>
    <w:rsid w:val="00547573"/>
    <w:rsid w:val="00547A70"/>
    <w:rsid w:val="005524CA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9685B"/>
    <w:rsid w:val="005A3015"/>
    <w:rsid w:val="005C459D"/>
    <w:rsid w:val="005D229A"/>
    <w:rsid w:val="005D2682"/>
    <w:rsid w:val="005D395B"/>
    <w:rsid w:val="005E1CF2"/>
    <w:rsid w:val="005E400C"/>
    <w:rsid w:val="005E507C"/>
    <w:rsid w:val="005E7740"/>
    <w:rsid w:val="005F0725"/>
    <w:rsid w:val="005F0F88"/>
    <w:rsid w:val="005F3102"/>
    <w:rsid w:val="005F5C73"/>
    <w:rsid w:val="0060056C"/>
    <w:rsid w:val="00600AD0"/>
    <w:rsid w:val="00601733"/>
    <w:rsid w:val="006033CF"/>
    <w:rsid w:val="00607456"/>
    <w:rsid w:val="0060755D"/>
    <w:rsid w:val="00613585"/>
    <w:rsid w:val="0061761A"/>
    <w:rsid w:val="00620039"/>
    <w:rsid w:val="00622422"/>
    <w:rsid w:val="0063159B"/>
    <w:rsid w:val="00642724"/>
    <w:rsid w:val="00644C51"/>
    <w:rsid w:val="00646D25"/>
    <w:rsid w:val="00646DBB"/>
    <w:rsid w:val="00663FE2"/>
    <w:rsid w:val="00667F24"/>
    <w:rsid w:val="006725EE"/>
    <w:rsid w:val="006817D0"/>
    <w:rsid w:val="006847A9"/>
    <w:rsid w:val="006852FB"/>
    <w:rsid w:val="0068680B"/>
    <w:rsid w:val="00694DAC"/>
    <w:rsid w:val="006A60B9"/>
    <w:rsid w:val="006A7B03"/>
    <w:rsid w:val="006B09AF"/>
    <w:rsid w:val="006B3174"/>
    <w:rsid w:val="006B33EF"/>
    <w:rsid w:val="006B427A"/>
    <w:rsid w:val="006C1F1A"/>
    <w:rsid w:val="006C56FA"/>
    <w:rsid w:val="006E158F"/>
    <w:rsid w:val="006E3B58"/>
    <w:rsid w:val="006E641A"/>
    <w:rsid w:val="006F5089"/>
    <w:rsid w:val="006F51FA"/>
    <w:rsid w:val="0070466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10EF"/>
    <w:rsid w:val="007426E0"/>
    <w:rsid w:val="007429B8"/>
    <w:rsid w:val="0074474F"/>
    <w:rsid w:val="00745179"/>
    <w:rsid w:val="00745CBE"/>
    <w:rsid w:val="007462BE"/>
    <w:rsid w:val="0075131A"/>
    <w:rsid w:val="00752AB0"/>
    <w:rsid w:val="00754968"/>
    <w:rsid w:val="007555C6"/>
    <w:rsid w:val="00757C16"/>
    <w:rsid w:val="007620A2"/>
    <w:rsid w:val="007633F2"/>
    <w:rsid w:val="0076639A"/>
    <w:rsid w:val="00773FF7"/>
    <w:rsid w:val="00774F00"/>
    <w:rsid w:val="00781D41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E0952"/>
    <w:rsid w:val="007F25F7"/>
    <w:rsid w:val="007F35C4"/>
    <w:rsid w:val="00804575"/>
    <w:rsid w:val="008054CB"/>
    <w:rsid w:val="00810405"/>
    <w:rsid w:val="00810652"/>
    <w:rsid w:val="008110A1"/>
    <w:rsid w:val="00813EB2"/>
    <w:rsid w:val="00814288"/>
    <w:rsid w:val="00816082"/>
    <w:rsid w:val="00820AEC"/>
    <w:rsid w:val="00821973"/>
    <w:rsid w:val="0082662B"/>
    <w:rsid w:val="0082745B"/>
    <w:rsid w:val="00830868"/>
    <w:rsid w:val="00831CE5"/>
    <w:rsid w:val="00832847"/>
    <w:rsid w:val="00833B49"/>
    <w:rsid w:val="00844FEC"/>
    <w:rsid w:val="00845957"/>
    <w:rsid w:val="00851E34"/>
    <w:rsid w:val="0085445B"/>
    <w:rsid w:val="0085498F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B02B5"/>
    <w:rsid w:val="008C096D"/>
    <w:rsid w:val="008C47DF"/>
    <w:rsid w:val="008C62E9"/>
    <w:rsid w:val="008C640C"/>
    <w:rsid w:val="008D08D9"/>
    <w:rsid w:val="008D3267"/>
    <w:rsid w:val="008D6BAC"/>
    <w:rsid w:val="008E0C51"/>
    <w:rsid w:val="008E10E8"/>
    <w:rsid w:val="008E1933"/>
    <w:rsid w:val="008E5212"/>
    <w:rsid w:val="008F102D"/>
    <w:rsid w:val="008F11BD"/>
    <w:rsid w:val="008F20D2"/>
    <w:rsid w:val="008F3687"/>
    <w:rsid w:val="00901776"/>
    <w:rsid w:val="009021C6"/>
    <w:rsid w:val="00902E84"/>
    <w:rsid w:val="00905461"/>
    <w:rsid w:val="00917B58"/>
    <w:rsid w:val="00920F2E"/>
    <w:rsid w:val="009258E4"/>
    <w:rsid w:val="00925BD1"/>
    <w:rsid w:val="009340A0"/>
    <w:rsid w:val="00942484"/>
    <w:rsid w:val="00943BC5"/>
    <w:rsid w:val="0094740C"/>
    <w:rsid w:val="00947D09"/>
    <w:rsid w:val="00961E3F"/>
    <w:rsid w:val="00961FDD"/>
    <w:rsid w:val="009640DD"/>
    <w:rsid w:val="00970BCB"/>
    <w:rsid w:val="00970DEB"/>
    <w:rsid w:val="00973CAC"/>
    <w:rsid w:val="0097754C"/>
    <w:rsid w:val="0098181F"/>
    <w:rsid w:val="00984B20"/>
    <w:rsid w:val="009915DC"/>
    <w:rsid w:val="00995C0B"/>
    <w:rsid w:val="00997531"/>
    <w:rsid w:val="009A1994"/>
    <w:rsid w:val="009A709D"/>
    <w:rsid w:val="009B326E"/>
    <w:rsid w:val="009B3726"/>
    <w:rsid w:val="009B3E38"/>
    <w:rsid w:val="009B7347"/>
    <w:rsid w:val="009C07B9"/>
    <w:rsid w:val="009C29D3"/>
    <w:rsid w:val="009C3FB0"/>
    <w:rsid w:val="009D4209"/>
    <w:rsid w:val="009D63A1"/>
    <w:rsid w:val="009E2ABC"/>
    <w:rsid w:val="009E3134"/>
    <w:rsid w:val="009E372E"/>
    <w:rsid w:val="009E4D98"/>
    <w:rsid w:val="009F5C7F"/>
    <w:rsid w:val="00A104DD"/>
    <w:rsid w:val="00A24417"/>
    <w:rsid w:val="00A24F45"/>
    <w:rsid w:val="00A25D94"/>
    <w:rsid w:val="00A26046"/>
    <w:rsid w:val="00A26C22"/>
    <w:rsid w:val="00A312F4"/>
    <w:rsid w:val="00A35222"/>
    <w:rsid w:val="00A36B43"/>
    <w:rsid w:val="00A40E0E"/>
    <w:rsid w:val="00A42043"/>
    <w:rsid w:val="00A436CC"/>
    <w:rsid w:val="00A47733"/>
    <w:rsid w:val="00A6096F"/>
    <w:rsid w:val="00A703FF"/>
    <w:rsid w:val="00A741AA"/>
    <w:rsid w:val="00A8749A"/>
    <w:rsid w:val="00A8757A"/>
    <w:rsid w:val="00A939EB"/>
    <w:rsid w:val="00A950EB"/>
    <w:rsid w:val="00AA2539"/>
    <w:rsid w:val="00AA296F"/>
    <w:rsid w:val="00AA4282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9A8"/>
    <w:rsid w:val="00AF014A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22511"/>
    <w:rsid w:val="00B33A20"/>
    <w:rsid w:val="00B37312"/>
    <w:rsid w:val="00B419BA"/>
    <w:rsid w:val="00B51DC1"/>
    <w:rsid w:val="00B5334E"/>
    <w:rsid w:val="00B5412D"/>
    <w:rsid w:val="00B6020A"/>
    <w:rsid w:val="00B61AE3"/>
    <w:rsid w:val="00B62079"/>
    <w:rsid w:val="00B6723C"/>
    <w:rsid w:val="00B71438"/>
    <w:rsid w:val="00B83064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F2499"/>
    <w:rsid w:val="00BF42E0"/>
    <w:rsid w:val="00BF5CD9"/>
    <w:rsid w:val="00BF6417"/>
    <w:rsid w:val="00C025CD"/>
    <w:rsid w:val="00C164D5"/>
    <w:rsid w:val="00C2606D"/>
    <w:rsid w:val="00C27281"/>
    <w:rsid w:val="00C351F7"/>
    <w:rsid w:val="00C37216"/>
    <w:rsid w:val="00C37352"/>
    <w:rsid w:val="00C40B3F"/>
    <w:rsid w:val="00C4741B"/>
    <w:rsid w:val="00C502D5"/>
    <w:rsid w:val="00C551E7"/>
    <w:rsid w:val="00C55C74"/>
    <w:rsid w:val="00C57DCD"/>
    <w:rsid w:val="00C613DD"/>
    <w:rsid w:val="00C6379A"/>
    <w:rsid w:val="00C64C13"/>
    <w:rsid w:val="00C64E0F"/>
    <w:rsid w:val="00C67044"/>
    <w:rsid w:val="00C7428C"/>
    <w:rsid w:val="00C75E76"/>
    <w:rsid w:val="00C82E99"/>
    <w:rsid w:val="00C84929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D2190"/>
    <w:rsid w:val="00CE18C7"/>
    <w:rsid w:val="00CE2087"/>
    <w:rsid w:val="00CE32CC"/>
    <w:rsid w:val="00CE3D4F"/>
    <w:rsid w:val="00CE4717"/>
    <w:rsid w:val="00CE4E5E"/>
    <w:rsid w:val="00CE5D71"/>
    <w:rsid w:val="00CE6DD5"/>
    <w:rsid w:val="00CE723B"/>
    <w:rsid w:val="00CF0C5D"/>
    <w:rsid w:val="00CF1625"/>
    <w:rsid w:val="00CF16A2"/>
    <w:rsid w:val="00CF1E90"/>
    <w:rsid w:val="00CF3185"/>
    <w:rsid w:val="00D0645B"/>
    <w:rsid w:val="00D074AB"/>
    <w:rsid w:val="00D11CA6"/>
    <w:rsid w:val="00D15ACA"/>
    <w:rsid w:val="00D20267"/>
    <w:rsid w:val="00D2566D"/>
    <w:rsid w:val="00D302C6"/>
    <w:rsid w:val="00D32C71"/>
    <w:rsid w:val="00D32FD3"/>
    <w:rsid w:val="00D33EC1"/>
    <w:rsid w:val="00D408E3"/>
    <w:rsid w:val="00D412DD"/>
    <w:rsid w:val="00D441E1"/>
    <w:rsid w:val="00D45EDA"/>
    <w:rsid w:val="00D4687D"/>
    <w:rsid w:val="00D47FAE"/>
    <w:rsid w:val="00D52F2C"/>
    <w:rsid w:val="00D532FB"/>
    <w:rsid w:val="00D534D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176F"/>
    <w:rsid w:val="00D821E3"/>
    <w:rsid w:val="00D82F59"/>
    <w:rsid w:val="00D8553A"/>
    <w:rsid w:val="00D96F4B"/>
    <w:rsid w:val="00DA2EF0"/>
    <w:rsid w:val="00DB0A7D"/>
    <w:rsid w:val="00DB0CDA"/>
    <w:rsid w:val="00DB1D37"/>
    <w:rsid w:val="00DB1E5F"/>
    <w:rsid w:val="00DB468A"/>
    <w:rsid w:val="00DB4A67"/>
    <w:rsid w:val="00DB5071"/>
    <w:rsid w:val="00DB751D"/>
    <w:rsid w:val="00DC203E"/>
    <w:rsid w:val="00DC2277"/>
    <w:rsid w:val="00DC26D4"/>
    <w:rsid w:val="00DC2779"/>
    <w:rsid w:val="00DC3B19"/>
    <w:rsid w:val="00DC5747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4255"/>
    <w:rsid w:val="00E07DEA"/>
    <w:rsid w:val="00E10D86"/>
    <w:rsid w:val="00E12BE3"/>
    <w:rsid w:val="00E20C03"/>
    <w:rsid w:val="00E214FB"/>
    <w:rsid w:val="00E24988"/>
    <w:rsid w:val="00E24A6A"/>
    <w:rsid w:val="00E26214"/>
    <w:rsid w:val="00E33F14"/>
    <w:rsid w:val="00E351CA"/>
    <w:rsid w:val="00E4658A"/>
    <w:rsid w:val="00E51EFD"/>
    <w:rsid w:val="00E52D7E"/>
    <w:rsid w:val="00E54CF9"/>
    <w:rsid w:val="00E56EC2"/>
    <w:rsid w:val="00E57122"/>
    <w:rsid w:val="00E601B3"/>
    <w:rsid w:val="00E6154D"/>
    <w:rsid w:val="00E624C2"/>
    <w:rsid w:val="00E70C9B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0CF"/>
    <w:rsid w:val="00EC75B1"/>
    <w:rsid w:val="00ED1927"/>
    <w:rsid w:val="00EE3CE4"/>
    <w:rsid w:val="00EE6FED"/>
    <w:rsid w:val="00EE706F"/>
    <w:rsid w:val="00EF1FA4"/>
    <w:rsid w:val="00F01F69"/>
    <w:rsid w:val="00F024D2"/>
    <w:rsid w:val="00F02EFC"/>
    <w:rsid w:val="00F04856"/>
    <w:rsid w:val="00F12EDA"/>
    <w:rsid w:val="00F145DB"/>
    <w:rsid w:val="00F14D66"/>
    <w:rsid w:val="00F14ECA"/>
    <w:rsid w:val="00F153A8"/>
    <w:rsid w:val="00F21B5E"/>
    <w:rsid w:val="00F27DB7"/>
    <w:rsid w:val="00F31040"/>
    <w:rsid w:val="00F345BC"/>
    <w:rsid w:val="00F35E4F"/>
    <w:rsid w:val="00F42A16"/>
    <w:rsid w:val="00F4421C"/>
    <w:rsid w:val="00F50693"/>
    <w:rsid w:val="00F51364"/>
    <w:rsid w:val="00F517F9"/>
    <w:rsid w:val="00F51CA7"/>
    <w:rsid w:val="00F5333E"/>
    <w:rsid w:val="00F61E8B"/>
    <w:rsid w:val="00F81D9D"/>
    <w:rsid w:val="00F855D5"/>
    <w:rsid w:val="00F86F6D"/>
    <w:rsid w:val="00F90201"/>
    <w:rsid w:val="00F914E7"/>
    <w:rsid w:val="00FA0DD3"/>
    <w:rsid w:val="00FA1497"/>
    <w:rsid w:val="00FA39A9"/>
    <w:rsid w:val="00FA500A"/>
    <w:rsid w:val="00FA7CA5"/>
    <w:rsid w:val="00FB1FF4"/>
    <w:rsid w:val="00FB3A69"/>
    <w:rsid w:val="00FB5D7E"/>
    <w:rsid w:val="00FB61D3"/>
    <w:rsid w:val="00FB6D27"/>
    <w:rsid w:val="00FC27E0"/>
    <w:rsid w:val="00FD0BFB"/>
    <w:rsid w:val="00FD61B6"/>
    <w:rsid w:val="00FE095E"/>
    <w:rsid w:val="00FE184F"/>
    <w:rsid w:val="00FE19A0"/>
    <w:rsid w:val="00FE1B20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CC5F6"/>
  <w15:docId w15:val="{013D5EA9-00D2-4E6B-9797-37D60E77D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81065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5D229A"/>
  </w:style>
  <w:style w:type="paragraph" w:styleId="ae">
    <w:name w:val="footer"/>
    <w:basedOn w:val="a1"/>
    <w:link w:val="af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character" w:customStyle="1" w:styleId="searchtext">
    <w:name w:val="searchtext"/>
    <w:basedOn w:val="a2"/>
    <w:rsid w:val="00C37352"/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34"/>
    <w:rsid w:val="00EC70C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05795-1DE8-4F21-BFAE-8444A0EB3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49</cp:revision>
  <cp:lastPrinted>2023-10-04T08:19:00Z</cp:lastPrinted>
  <dcterms:created xsi:type="dcterms:W3CDTF">2022-01-10T05:06:00Z</dcterms:created>
  <dcterms:modified xsi:type="dcterms:W3CDTF">2025-01-15T10:41:00Z</dcterms:modified>
</cp:coreProperties>
</file>