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06B" w:rsidRPr="00AF2B9B" w:rsidRDefault="0065306B" w:rsidP="006A32BE">
      <w:pPr>
        <w:spacing w:after="0" w:line="240" w:lineRule="auto"/>
        <w:ind w:left="104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B9B">
        <w:rPr>
          <w:rFonts w:ascii="Times New Roman" w:eastAsia="Times New Roman" w:hAnsi="Times New Roman" w:cs="Times New Roman"/>
          <w:sz w:val="24"/>
          <w:szCs w:val="24"/>
        </w:rPr>
        <w:t>Форма 6т  "Техническое предложение"</w:t>
      </w:r>
    </w:p>
    <w:p w:rsidR="0065306B" w:rsidRPr="00AF2B9B" w:rsidRDefault="0065306B" w:rsidP="006A32BE">
      <w:pPr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</w:p>
    <w:p w:rsidR="0065306B" w:rsidRPr="00AF2B9B" w:rsidRDefault="0065306B" w:rsidP="006A3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B9B">
        <w:rPr>
          <w:rFonts w:ascii="Times New Roman" w:eastAsia="Times New Roman" w:hAnsi="Times New Roman" w:cs="Times New Roman"/>
          <w:b/>
          <w:sz w:val="24"/>
          <w:szCs w:val="24"/>
        </w:rPr>
        <w:t>ТЕХНИЧЕСКОЕ ПРЕДЛОЖЕНИЕ</w:t>
      </w:r>
    </w:p>
    <w:p w:rsidR="0065306B" w:rsidRPr="00AF2B9B" w:rsidRDefault="0065306B" w:rsidP="006A32BE">
      <w:pPr>
        <w:pStyle w:val="ab"/>
        <w:ind w:left="360"/>
      </w:pPr>
      <w:r w:rsidRPr="00AF2B9B">
        <w:t>Участник закупки _______________________</w:t>
      </w:r>
    </w:p>
    <w:p w:rsidR="0065306B" w:rsidRPr="00FF2CE4" w:rsidRDefault="0065306B" w:rsidP="006A32BE">
      <w:pPr>
        <w:pStyle w:val="ab"/>
        <w:ind w:left="360"/>
        <w:rPr>
          <w:u w:val="single"/>
        </w:rPr>
      </w:pPr>
      <w:r w:rsidRPr="00AF2B9B">
        <w:t xml:space="preserve">ПДО № </w:t>
      </w:r>
      <w:r w:rsidR="00E82415">
        <w:t>152</w:t>
      </w:r>
      <w:r w:rsidR="00FF2CE4">
        <w:t>-БНГРЭ-</w:t>
      </w:r>
      <w:r w:rsidR="00E82415">
        <w:t>2021</w:t>
      </w:r>
      <w:r>
        <w:t>.</w:t>
      </w:r>
    </w:p>
    <w:p w:rsidR="00CC0C59" w:rsidRPr="0065306B" w:rsidRDefault="0065306B" w:rsidP="006A32BE">
      <w:pPr>
        <w:pStyle w:val="ab"/>
        <w:ind w:left="360"/>
      </w:pPr>
      <w:r w:rsidRPr="0065306B">
        <w:t>Оказание сервисных услуг по освоению струйным насосом поисково-оценочной скважины №</w:t>
      </w:r>
      <w:r w:rsidR="00B42E72">
        <w:t xml:space="preserve"> 16</w:t>
      </w:r>
      <w:r w:rsidRPr="0065306B">
        <w:t xml:space="preserve"> </w:t>
      </w:r>
      <w:r w:rsidR="00FF2CE4">
        <w:t>Лодочного</w:t>
      </w:r>
      <w:r w:rsidRPr="0065306B">
        <w:t xml:space="preserve"> </w:t>
      </w:r>
      <w:r w:rsidR="00FF2CE4">
        <w:t>ЛУ</w:t>
      </w:r>
      <w:r w:rsidR="00B42E72">
        <w:t xml:space="preserve"> в 2022-2023 гг.</w:t>
      </w:r>
    </w:p>
    <w:p w:rsidR="0065306B" w:rsidRPr="0048700B" w:rsidRDefault="0065306B" w:rsidP="006A32BE">
      <w:pPr>
        <w:spacing w:after="0" w:line="240" w:lineRule="auto"/>
        <w:rPr>
          <w:rFonts w:ascii="Times New Roman" w:hAnsi="Times New Roman" w:cs="Times New Roman"/>
          <w:b/>
        </w:rPr>
      </w:pPr>
    </w:p>
    <w:p w:rsidR="0065306B" w:rsidRDefault="0065306B" w:rsidP="006A3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  <w:lang w:val="en-US"/>
        </w:rPr>
        <w:t>1</w:t>
      </w:r>
      <w:r>
        <w:rPr>
          <w:rFonts w:ascii="Times New Roman" w:hAnsi="Times New Roman"/>
          <w:b/>
          <w:i/>
          <w:iCs/>
        </w:rPr>
        <w:t>. Требования к предмету закупки: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09"/>
        <w:gridCol w:w="6095"/>
        <w:gridCol w:w="5103"/>
        <w:gridCol w:w="1701"/>
        <w:gridCol w:w="1559"/>
      </w:tblGrid>
      <w:tr w:rsidR="00E82415" w:rsidRPr="00DD17B6" w:rsidTr="00503CF3">
        <w:trPr>
          <w:trHeight w:val="491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D17B6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DD17B6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DD17B6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DD17B6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6804" w:type="dxa"/>
            <w:gridSpan w:val="2"/>
            <w:vMerge w:val="restart"/>
            <w:shd w:val="clear" w:color="auto" w:fill="D9D9D9"/>
            <w:vAlign w:val="center"/>
            <w:hideMark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103" w:type="dxa"/>
            <w:vMerge w:val="restart"/>
            <w:shd w:val="clear" w:color="auto" w:fill="D9D9D9"/>
            <w:vAlign w:val="center"/>
            <w:hideMark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DD17B6">
              <w:rPr>
                <w:rFonts w:ascii="Times New Roman" w:hAnsi="Times New Roman"/>
                <w:b/>
                <w:bCs/>
                <w:sz w:val="20"/>
                <w:szCs w:val="20"/>
              </w:rPr>
              <w:t>ветствия</w:t>
            </w:r>
          </w:p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82415"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  <w:t>(заполняет участник)</w:t>
            </w:r>
          </w:p>
        </w:tc>
      </w:tr>
      <w:tr w:rsidR="00E82415" w:rsidRPr="00DD17B6" w:rsidTr="00503CF3">
        <w:trPr>
          <w:trHeight w:val="491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E82415" w:rsidRPr="00DD17B6" w:rsidRDefault="00E82415" w:rsidP="006A32B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  <w:gridSpan w:val="2"/>
            <w:vMerge/>
            <w:shd w:val="clear" w:color="auto" w:fill="D9D9D9"/>
            <w:vAlign w:val="center"/>
            <w:hideMark/>
          </w:tcPr>
          <w:p w:rsidR="00E82415" w:rsidRPr="00DD17B6" w:rsidRDefault="00E82415" w:rsidP="006A32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vMerge/>
            <w:shd w:val="clear" w:color="auto" w:fill="D9D9D9"/>
            <w:vAlign w:val="center"/>
            <w:hideMark/>
          </w:tcPr>
          <w:p w:rsidR="00E82415" w:rsidRPr="00DD17B6" w:rsidRDefault="00E82415" w:rsidP="006A32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E82415" w:rsidRPr="00DD17B6" w:rsidRDefault="00E82415" w:rsidP="006A32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E82415" w:rsidRPr="00DD17B6" w:rsidRDefault="00E82415" w:rsidP="006A32B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82415" w:rsidRPr="00DD17B6" w:rsidTr="00503CF3">
        <w:trPr>
          <w:trHeight w:val="30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67" w:type="dxa"/>
            <w:gridSpan w:val="5"/>
            <w:shd w:val="clear" w:color="auto" w:fill="auto"/>
            <w:vAlign w:val="center"/>
          </w:tcPr>
          <w:p w:rsidR="00E82415" w:rsidRPr="00030FF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 xml:space="preserve">Требования к предмету закупки </w:t>
            </w: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E82415" w:rsidRPr="00DD17B6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>Наличие собственн</w:t>
            </w:r>
            <w:r>
              <w:rPr>
                <w:rFonts w:ascii="Times New Roman" w:hAnsi="Times New Roman"/>
                <w:sz w:val="20"/>
                <w:szCs w:val="20"/>
              </w:rPr>
              <w:t>ой (или арендованной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8C4E6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C4E60">
              <w:rPr>
                <w:rFonts w:ascii="Times New Roman" w:hAnsi="Times New Roman"/>
                <w:sz w:val="20"/>
                <w:szCs w:val="20"/>
              </w:rPr>
              <w:t xml:space="preserve">роизводственной базы </w:t>
            </w:r>
            <w:r>
              <w:rPr>
                <w:rFonts w:ascii="Times New Roman" w:hAnsi="Times New Roman"/>
                <w:sz w:val="20"/>
                <w:szCs w:val="20"/>
              </w:rPr>
              <w:t>позволяющей проводить ремонт и обслуживание оборудования и приборов нео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ходимых для выполнения работ в соответствии с Техническим заданием (Приложение №1 к ПДО).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444724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724">
              <w:rPr>
                <w:rFonts w:ascii="Times New Roman" w:hAnsi="Times New Roman"/>
                <w:sz w:val="20"/>
                <w:szCs w:val="20"/>
              </w:rPr>
              <w:t>Подтверждающие документы (копия договора аренды или право собственности)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E82415" w:rsidRPr="00DD17B6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sz w:val="20"/>
                <w:szCs w:val="20"/>
              </w:rPr>
              <w:t>не менее 2-ух комплектов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собственного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оборудования (струйного насоса, глубинных манометров) 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>в соответствии с техническим заданием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№1 к ПДО)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паспортов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E82415" w:rsidRPr="00DD17B6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Возможность 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азработк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подробных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планов работ по освоению скважины (объекта испытания) 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включающих в себя </w:t>
            </w:r>
            <w:r>
              <w:rPr>
                <w:rFonts w:ascii="Times New Roman" w:hAnsi="Times New Roman"/>
                <w:sz w:val="20"/>
                <w:szCs w:val="20"/>
              </w:rPr>
              <w:t>подбор режимов отработки (да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ления нагнетания, время и пр.) в соответствии с Техническим заданием. (Приложение №1 к ПДО)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sz w:val="20"/>
                <w:szCs w:val="20"/>
              </w:rPr>
              <w:t>Письмо подтверждение (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  <w:r>
              <w:rPr>
                <w:rFonts w:ascii="Times New Roman" w:hAnsi="Times New Roman"/>
                <w:sz w:val="20"/>
                <w:szCs w:val="20"/>
              </w:rPr>
              <w:t>), что в случае признания побед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телем Подрядчик 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азработа</w:t>
            </w:r>
            <w:r>
              <w:rPr>
                <w:rFonts w:ascii="Times New Roman" w:hAnsi="Times New Roman"/>
                <w:sz w:val="20"/>
                <w:szCs w:val="20"/>
              </w:rPr>
              <w:t>ет 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 xml:space="preserve"> предоставит программу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(план) освоения скважины струйным насосом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, согласно техническому заданию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E82415" w:rsidRPr="001472CF" w:rsidRDefault="00E82415" w:rsidP="006A32BE">
            <w:pPr>
              <w:pStyle w:val="3"/>
              <w:shd w:val="clear" w:color="auto" w:fill="auto"/>
              <w:tabs>
                <w:tab w:val="left" w:pos="284"/>
              </w:tabs>
              <w:spacing w:before="0" w:line="240" w:lineRule="auto"/>
              <w:ind w:left="-142" w:right="10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1472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</w:t>
            </w:r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специализированного лицензированного пр</w:t>
            </w:r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граммного обеспечения для расчета гидродинамических параметров пласта по </w:t>
            </w:r>
            <w:proofErr w:type="gramStart"/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результатам</w:t>
            </w:r>
            <w:proofErr w:type="gramEnd"/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полученным в процессе освоения скважины струйным нас</w:t>
            </w:r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1472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сом.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Подтверждающие документы (копия лицензии, лице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зионный договор)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7D0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1472CF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sz w:val="20"/>
                <w:szCs w:val="20"/>
              </w:rPr>
              <w:t>Предоставление гарантий, что все оборудование необходимое для выполн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>ния работ в соответствии с условиями Технического задания (приложение № 1) сертифицировано и имеет паспорта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 xml:space="preserve">Гарантийное письмо за подписью руководителя. </w:t>
            </w:r>
          </w:p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опии разрешительных документов (сер</w:t>
            </w:r>
            <w:r>
              <w:rPr>
                <w:rFonts w:ascii="Times New Roman" w:hAnsi="Times New Roman"/>
                <w:sz w:val="20"/>
                <w:szCs w:val="20"/>
              </w:rPr>
              <w:t>тификаты соо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ветствия, паспорта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) на применяем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ое </w:t>
            </w:r>
            <w:r w:rsidRPr="006757C8">
              <w:rPr>
                <w:rFonts w:ascii="Times New Roman" w:hAnsi="Times New Roman"/>
                <w:sz w:val="20"/>
                <w:szCs w:val="20"/>
              </w:rPr>
              <w:t>оборудование по дополнительному запросу.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1472CF" w:rsidRDefault="00E82415" w:rsidP="006A3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72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технического </w:t>
            </w:r>
            <w:r w:rsidRPr="001472CF">
              <w:rPr>
                <w:rFonts w:ascii="Times New Roman" w:hAnsi="Times New Roman"/>
                <w:sz w:val="20"/>
                <w:szCs w:val="20"/>
              </w:rPr>
              <w:t xml:space="preserve">задания  в составе ПДО (приложение № 1 к форме 2 - Требования к предмету оферты)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1472CF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Возможность оказания услуг по освоению скважины с помощью струйного насоса с дистанционным инженерным сопровождением (без выезда инжен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 на объект работ).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2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167" w:type="dxa"/>
            <w:gridSpan w:val="5"/>
            <w:shd w:val="clear" w:color="auto" w:fill="auto"/>
            <w:vAlign w:val="center"/>
          </w:tcPr>
          <w:p w:rsidR="00E82415" w:rsidRPr="00030FF0" w:rsidRDefault="006A32BE" w:rsidP="006A3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A5D">
              <w:rPr>
                <w:rFonts w:ascii="Times New Roman" w:hAnsi="Times New Roman"/>
                <w:sz w:val="20"/>
                <w:szCs w:val="20"/>
              </w:rPr>
              <w:t xml:space="preserve">Положительные отзывы других Заказчиков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(ЛУКОЙЛ,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Сургутнефтегаз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34A5D">
              <w:rPr>
                <w:rFonts w:ascii="Times New Roman" w:hAnsi="Times New Roman"/>
                <w:sz w:val="20"/>
                <w:szCs w:val="20"/>
              </w:rPr>
              <w:t xml:space="preserve"> Роснефть и др.)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итогам работы </w:t>
            </w:r>
            <w:proofErr w:type="gramStart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D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последние 3 года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отзывов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D52B15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о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>пыт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работы в нефтегазодобывающей  промышленности по да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>н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ному типу сделки не менее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 лет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 период 2016-2021 гг.)</w:t>
            </w:r>
            <w:r w:rsidRPr="00D52B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964">
              <w:rPr>
                <w:rFonts w:ascii="Times New Roman" w:hAnsi="Times New Roman"/>
                <w:sz w:val="20"/>
                <w:szCs w:val="20"/>
              </w:rPr>
              <w:t>Справка за подписью руководителя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предоставлением перечня контрактов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E82415" w:rsidRPr="00D3057D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тельств  в качестве  ответчика в связи с существенными нарушениями дог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вора, исковые требования по которым были удовлетворены, а также  случ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я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ми его условий</w:t>
            </w:r>
            <w:r w:rsidRPr="00D3057D">
              <w:rPr>
                <w:rStyle w:val="af0"/>
                <w:rFonts w:ascii="Times New Roman" w:hAnsi="Times New Roman"/>
                <w:sz w:val="20"/>
                <w:szCs w:val="20"/>
              </w:rPr>
              <w:footnoteReference w:id="2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3057D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3057D" w:rsidRDefault="00E82415" w:rsidP="006A32BE">
            <w:pPr>
              <w:pStyle w:val="ab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</w:t>
            </w:r>
            <w:proofErr w:type="gramStart"/>
            <w:r w:rsidRPr="00D3057D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ри наличии, решение прин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мает Технич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ская комиссия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3057D" w:rsidRDefault="00E82415" w:rsidP="006A32BE">
            <w:pPr>
              <w:pStyle w:val="ab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E82415" w:rsidRPr="00D3057D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E82415" w:rsidRPr="00D3057D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м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E82415" w:rsidRPr="00D3057D" w:rsidRDefault="00E82415" w:rsidP="006A32BE">
            <w:pPr>
              <w:pStyle w:val="ab"/>
              <w:autoSpaceDE w:val="0"/>
              <w:autoSpaceDN w:val="0"/>
              <w:ind w:left="0"/>
              <w:jc w:val="both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</w:t>
            </w:r>
            <w:r w:rsidRPr="00D3057D">
              <w:rPr>
                <w:sz w:val="20"/>
                <w:szCs w:val="20"/>
              </w:rPr>
              <w:t>и</w:t>
            </w:r>
            <w:r w:rsidRPr="00D3057D">
              <w:rPr>
                <w:sz w:val="20"/>
                <w:szCs w:val="20"/>
              </w:rPr>
              <w:t>жение запланированного результата)</w:t>
            </w:r>
            <w:r>
              <w:rPr>
                <w:sz w:val="20"/>
                <w:szCs w:val="20"/>
              </w:rPr>
              <w:t>;</w:t>
            </w:r>
            <w:r w:rsidRPr="00D3057D">
              <w:rPr>
                <w:sz w:val="20"/>
                <w:szCs w:val="20"/>
              </w:rPr>
              <w:t xml:space="preserve"> </w:t>
            </w:r>
          </w:p>
          <w:p w:rsidR="00E82415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82415" w:rsidRPr="00D3057D" w:rsidRDefault="00E82415" w:rsidP="006A32BE">
            <w:pPr>
              <w:spacing w:after="0" w:line="240" w:lineRule="auto"/>
              <w:ind w:firstLine="42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для целей принятия решения.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3057D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а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3057D" w:rsidRDefault="00E82415" w:rsidP="006A32BE">
            <w:pPr>
              <w:pStyle w:val="ab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D3057D">
              <w:rPr>
                <w:sz w:val="20"/>
                <w:szCs w:val="20"/>
              </w:rPr>
              <w:t>Да</w:t>
            </w:r>
            <w:proofErr w:type="gramStart"/>
            <w:r w:rsidRPr="00D3057D">
              <w:rPr>
                <w:sz w:val="20"/>
                <w:szCs w:val="20"/>
              </w:rPr>
              <w:t>/Н</w:t>
            </w:r>
            <w:proofErr w:type="gramEnd"/>
            <w:r w:rsidRPr="00D3057D">
              <w:rPr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3057D" w:rsidRDefault="00E82415" w:rsidP="006A32BE">
            <w:pPr>
              <w:pStyle w:val="ab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3865">
              <w:rPr>
                <w:rFonts w:ascii="Times New Roman" w:hAnsi="Times New Roman"/>
                <w:sz w:val="20"/>
                <w:szCs w:val="20"/>
              </w:rPr>
              <w:t xml:space="preserve">100% </w:t>
            </w:r>
            <w:proofErr w:type="spellStart"/>
            <w:r w:rsidRPr="00D93865">
              <w:rPr>
                <w:rFonts w:ascii="Times New Roman" w:hAnsi="Times New Roman"/>
                <w:sz w:val="20"/>
                <w:szCs w:val="20"/>
              </w:rPr>
              <w:t>обученность</w:t>
            </w:r>
            <w:proofErr w:type="spellEnd"/>
            <w:r w:rsidRPr="00D93865">
              <w:rPr>
                <w:rFonts w:ascii="Times New Roman" w:hAnsi="Times New Roman"/>
                <w:sz w:val="20"/>
                <w:szCs w:val="20"/>
              </w:rPr>
              <w:t xml:space="preserve"> производственного персонала ИТР, необходимых для выполнения данного вида работ в соответствии с Техническим заданием (Приложение №1).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подтверждающие прохождение обучения состава ИТР (копии)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B27C81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27C8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27C8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405"/>
        </w:trPr>
        <w:tc>
          <w:tcPr>
            <w:tcW w:w="568" w:type="dxa"/>
            <w:vMerge w:val="restart"/>
            <w:shd w:val="clear" w:color="auto" w:fill="auto"/>
            <w:noWrap/>
            <w:vAlign w:val="center"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58310C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>Квалификационный состав персонала: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E82415" w:rsidRPr="0058310C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>Справка, предоставляемая и заверенная отделом кадров с указанием Ф.И.О, образования и опыта работы по да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н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ному сервису претендентов, планируемых к оказанию услуг в соответствии с настоящим ПДО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82415" w:rsidRPr="00B27C81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C8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27C8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27C8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82415" w:rsidRPr="0058310C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82415" w:rsidRPr="0058310C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>Опыт работы инженера по освоению скважины струйным насосом не менее 3 лет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E82415" w:rsidRPr="001A1CBC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vMerge/>
            <w:shd w:val="clear" w:color="auto" w:fill="auto"/>
            <w:noWrap/>
            <w:vAlign w:val="center"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82415" w:rsidRPr="0058310C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  <w:r w:rsidRPr="0058310C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E82415" w:rsidRPr="0058310C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10C">
              <w:rPr>
                <w:rFonts w:ascii="Times New Roman" w:hAnsi="Times New Roman"/>
                <w:sz w:val="20"/>
                <w:szCs w:val="20"/>
              </w:rPr>
              <w:t xml:space="preserve">Опыт работы координатора не менее 3 лет 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E82415" w:rsidRPr="001A1CBC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DD17B6" w:rsidRDefault="00E82415" w:rsidP="006A32BE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1063F">
              <w:rPr>
                <w:rFonts w:ascii="Times New Roman" w:hAnsi="Times New Roman"/>
                <w:sz w:val="20"/>
                <w:szCs w:val="20"/>
              </w:rPr>
              <w:t>Обученность</w:t>
            </w:r>
            <w:proofErr w:type="spellEnd"/>
            <w:r w:rsidRPr="00F1063F">
              <w:rPr>
                <w:rFonts w:ascii="Times New Roman" w:hAnsi="Times New Roman"/>
                <w:sz w:val="20"/>
                <w:szCs w:val="20"/>
              </w:rPr>
              <w:t xml:space="preserve"> персонала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(100%)</w:t>
            </w:r>
            <w:r w:rsidRPr="00F1063F">
              <w:rPr>
                <w:rFonts w:ascii="Times New Roman" w:hAnsi="Times New Roman"/>
                <w:sz w:val="20"/>
                <w:szCs w:val="20"/>
              </w:rPr>
              <w:t xml:space="preserve"> и наличие сертификатов по программе "Контроль скважины. Управление скважиной"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sz w:val="20"/>
                <w:szCs w:val="20"/>
              </w:rPr>
              <w:t>Копия протокола аттестации, копии сертификатов.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FE0B0A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100% р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уководител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 xml:space="preserve"> и специалист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, обученные и аттестованные в области промышленной безопасности и охраны труда из численности производс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т</w:t>
            </w:r>
            <w:r w:rsidRPr="00FE0B0A">
              <w:rPr>
                <w:rFonts w:ascii="Times New Roman" w:hAnsi="Times New Roman"/>
                <w:sz w:val="20"/>
                <w:szCs w:val="20"/>
              </w:rPr>
              <w:t>венного персонала, необходимого для данных видов работ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FE0B0A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sz w:val="20"/>
                <w:szCs w:val="20"/>
              </w:rPr>
              <w:t>Копии Протоколов аттестации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444724" w:rsidRDefault="00E82415" w:rsidP="006A32BE">
            <w:pPr>
              <w:pStyle w:val="3"/>
              <w:shd w:val="clear" w:color="auto" w:fill="auto"/>
              <w:tabs>
                <w:tab w:val="left" w:pos="426"/>
              </w:tabs>
              <w:spacing w:before="0" w:line="240" w:lineRule="auto"/>
              <w:ind w:right="10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Оснащенность персонала 100% - СИЗ (средства инд. защиты), </w:t>
            </w:r>
            <w:proofErr w:type="gramStart"/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>спецоде</w:t>
            </w:r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>дой</w:t>
            </w:r>
            <w:proofErr w:type="gramEnd"/>
            <w:r w:rsidRPr="004447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согласно установленным нормам и их использование для выполнения данного вида услуг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425120" w:rsidRDefault="00E82415" w:rsidP="006A32BE">
            <w:pPr>
              <w:pStyle w:val="ab"/>
              <w:autoSpaceDE w:val="0"/>
              <w:autoSpaceDN w:val="0"/>
              <w:adjustRightInd w:val="0"/>
              <w:ind w:left="0"/>
              <w:rPr>
                <w:iCs/>
                <w:color w:val="FF0000"/>
                <w:sz w:val="20"/>
                <w:szCs w:val="20"/>
              </w:rPr>
            </w:pPr>
            <w:r w:rsidRPr="00FE0B0A">
              <w:rPr>
                <w:iCs/>
                <w:sz w:val="20"/>
                <w:szCs w:val="20"/>
              </w:rPr>
              <w:t xml:space="preserve">Наличие аккредитации в ООО «БНГРЭ» </w:t>
            </w:r>
            <w:r>
              <w:rPr>
                <w:iCs/>
                <w:sz w:val="20"/>
                <w:szCs w:val="20"/>
              </w:rPr>
              <w:t xml:space="preserve">/ </w:t>
            </w:r>
            <w:r w:rsidRPr="00EB5280">
              <w:rPr>
                <w:iCs/>
                <w:sz w:val="20"/>
                <w:szCs w:val="20"/>
              </w:rPr>
              <w:t>пакет документов для ее прохо</w:t>
            </w:r>
            <w:r w:rsidRPr="00EB5280">
              <w:rPr>
                <w:iCs/>
                <w:sz w:val="20"/>
                <w:szCs w:val="20"/>
              </w:rPr>
              <w:t>ж</w:t>
            </w:r>
            <w:r w:rsidRPr="00EB5280">
              <w:rPr>
                <w:iCs/>
                <w:sz w:val="20"/>
                <w:szCs w:val="20"/>
              </w:rPr>
              <w:t>дения</w:t>
            </w:r>
          </w:p>
          <w:p w:rsidR="00E82415" w:rsidRPr="00DD17B6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0B0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E0B0A">
                <w:rPr>
                  <w:rStyle w:val="ad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</w:tcPr>
          <w:p w:rsidR="00E82415" w:rsidRPr="00444724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C26B4F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После заключения договора должны быть заключены договора добровол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ь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E82415" w:rsidRPr="00C26B4F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- смерть в результате несчастного случая;</w:t>
            </w:r>
          </w:p>
          <w:p w:rsidR="00E82415" w:rsidRPr="00444724" w:rsidRDefault="00E82415" w:rsidP="006A32BE">
            <w:pPr>
              <w:pStyle w:val="ab"/>
              <w:autoSpaceDE w:val="0"/>
              <w:autoSpaceDN w:val="0"/>
              <w:adjustRightInd w:val="0"/>
              <w:ind w:hanging="674"/>
              <w:rPr>
                <w:iCs/>
                <w:sz w:val="20"/>
                <w:szCs w:val="20"/>
              </w:rPr>
            </w:pPr>
            <w:r w:rsidRPr="00C26B4F">
              <w:rPr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444724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44724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за подписью руководителя орган</w:t>
            </w:r>
            <w:r w:rsidRPr="00444724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444724">
              <w:rPr>
                <w:rFonts w:ascii="Times New Roman" w:hAnsi="Times New Roman"/>
                <w:iCs/>
                <w:sz w:val="20"/>
                <w:szCs w:val="20"/>
              </w:rPr>
              <w:t>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444724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44724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44472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444724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444724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30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167" w:type="dxa"/>
            <w:gridSpan w:val="5"/>
            <w:shd w:val="clear" w:color="auto" w:fill="auto"/>
            <w:vAlign w:val="center"/>
          </w:tcPr>
          <w:p w:rsidR="00E82415" w:rsidRPr="00030FF0" w:rsidRDefault="006A32BE" w:rsidP="006A3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0FF0">
              <w:rPr>
                <w:rFonts w:ascii="Times New Roman" w:hAnsi="Times New Roman"/>
                <w:b/>
                <w:sz w:val="20"/>
                <w:szCs w:val="20"/>
              </w:rPr>
              <w:t>Прочие требования</w:t>
            </w: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с условиями договора ООО "БНГРЭ" 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на оказание услуг по освоению скважины струйным насосом с последующим проведением г</w:t>
            </w:r>
            <w:r>
              <w:rPr>
                <w:rFonts w:ascii="Times New Roman" w:hAnsi="Times New Roman"/>
                <w:sz w:val="20"/>
                <w:szCs w:val="20"/>
              </w:rPr>
              <w:t>идродин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мических исследований</w:t>
            </w:r>
            <w:proofErr w:type="gramStart"/>
            <w:r w:rsidRPr="0058310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5831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310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58310C">
              <w:rPr>
                <w:rFonts w:ascii="Times New Roman" w:hAnsi="Times New Roman"/>
                <w:sz w:val="20"/>
                <w:szCs w:val="20"/>
              </w:rPr>
              <w:t xml:space="preserve"> т.ч. с ЛНД:</w:t>
            </w:r>
          </w:p>
          <w:p w:rsidR="00E82415" w:rsidRPr="00C83F2C" w:rsidRDefault="00E82415" w:rsidP="006A32BE">
            <w:pPr>
              <w:pStyle w:val="ab"/>
              <w:numPr>
                <w:ilvl w:val="0"/>
                <w:numId w:val="1"/>
              </w:numPr>
              <w:ind w:left="286" w:hanging="283"/>
              <w:jc w:val="both"/>
              <w:rPr>
                <w:sz w:val="20"/>
                <w:szCs w:val="20"/>
              </w:rPr>
            </w:pPr>
            <w:r w:rsidRPr="00C83F2C">
              <w:rPr>
                <w:sz w:val="20"/>
                <w:szCs w:val="20"/>
              </w:rPr>
              <w:t>Требованиям к подрядчику в области промышленной, пожарной безопасности, охраны труда, окружающей среды и реагирования на чрезв</w:t>
            </w:r>
            <w:r w:rsidRPr="00C83F2C">
              <w:rPr>
                <w:sz w:val="20"/>
                <w:szCs w:val="20"/>
              </w:rPr>
              <w:t>ы</w:t>
            </w:r>
            <w:r w:rsidRPr="00C83F2C">
              <w:rPr>
                <w:sz w:val="20"/>
                <w:szCs w:val="20"/>
              </w:rPr>
              <w:t xml:space="preserve">чайную ситуацию </w:t>
            </w:r>
          </w:p>
          <w:p w:rsidR="00E82415" w:rsidRPr="006A4635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3F2C">
              <w:rPr>
                <w:rFonts w:ascii="Times New Roman" w:hAnsi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6A463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 xml:space="preserve">Письмо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подписью уполномоченного лица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согласии со всеми условиями проекта договора ООО «БНГРЭ» 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на фирменном бланке с печатью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6A4635" w:rsidRDefault="00E82415" w:rsidP="006A32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Согласие проведения службами Заказчика аудиторских проверок заявле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ных Подрядчиком компетенций на этапе проведения тендерных процедур и исполнения договора оказания услуг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6A463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635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р</w:t>
            </w:r>
            <w:r w:rsidRPr="006A4635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Pr="006A57D0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В случае необходимости субподряда, гарантировать привлечение только контрагентов, аккредитованных в ООО "БНГРЭ" по согласованию с Зака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з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чиком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произвольной форме на фи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р</w:t>
            </w:r>
            <w:r w:rsidRPr="00DD17B6">
              <w:rPr>
                <w:rFonts w:ascii="Times New Roman" w:hAnsi="Times New Roman"/>
                <w:sz w:val="20"/>
                <w:szCs w:val="20"/>
              </w:rPr>
              <w:t>менном бланке предприятия с печатью и подписью уполномоченного лица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2415" w:rsidRPr="00DD17B6" w:rsidTr="00503CF3">
        <w:trPr>
          <w:trHeight w:val="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82415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E82415" w:rsidRPr="00C26B4F" w:rsidRDefault="00E82415" w:rsidP="006A32B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Проведение обязательной профилактической вакцинации против Covid-19 всех работников задействованных при выполнении работ, с наличием по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д</w:t>
            </w:r>
            <w:r w:rsidRPr="00C26B4F">
              <w:rPr>
                <w:rFonts w:ascii="Times New Roman" w:hAnsi="Times New Roman"/>
                <w:sz w:val="20"/>
                <w:szCs w:val="20"/>
              </w:rPr>
              <w:t>тверждающих сертификатов с государственного портала «</w:t>
            </w:r>
            <w:proofErr w:type="spellStart"/>
            <w:r w:rsidRPr="00C26B4F">
              <w:rPr>
                <w:rFonts w:ascii="Times New Roman" w:hAnsi="Times New Roman"/>
                <w:sz w:val="20"/>
                <w:szCs w:val="20"/>
              </w:rPr>
              <w:t>Госуслуги</w:t>
            </w:r>
            <w:proofErr w:type="spellEnd"/>
            <w:r w:rsidRPr="00C26B4F">
              <w:rPr>
                <w:rFonts w:ascii="Times New Roman" w:hAnsi="Times New Roman"/>
                <w:sz w:val="20"/>
                <w:szCs w:val="20"/>
              </w:rPr>
              <w:t>» с QR – кодом.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2415" w:rsidRPr="00C26B4F" w:rsidRDefault="00E82415" w:rsidP="006A32B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26B4F">
              <w:rPr>
                <w:rFonts w:ascii="Times New Roman" w:hAnsi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17B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D17B6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D17B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2415" w:rsidRPr="00DD17B6" w:rsidRDefault="00E82415" w:rsidP="006A3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306B" w:rsidRDefault="0065306B" w:rsidP="006A32BE">
      <w:pPr>
        <w:pStyle w:val="ConsPlusNormal"/>
        <w:widowControl/>
        <w:ind w:firstLine="0"/>
        <w:jc w:val="both"/>
        <w:rPr>
          <w:sz w:val="20"/>
          <w:szCs w:val="20"/>
          <w:lang w:val="en-US"/>
        </w:rPr>
      </w:pPr>
    </w:p>
    <w:p w:rsidR="00057224" w:rsidRPr="00975720" w:rsidRDefault="00057224" w:rsidP="006A32BE">
      <w:pPr>
        <w:pStyle w:val="ConsPlusNormal"/>
        <w:widowControl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Участник</w:t>
      </w:r>
      <w:r w:rsidRPr="00975720">
        <w:rPr>
          <w:sz w:val="20"/>
          <w:szCs w:val="20"/>
        </w:rPr>
        <w:t xml:space="preserve"> закупки</w:t>
      </w:r>
    </w:p>
    <w:p w:rsidR="00057224" w:rsidRDefault="00057224" w:rsidP="006A32B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057224" w:rsidRPr="00975720" w:rsidTr="00A8587E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20"/>
                <w:szCs w:val="20"/>
              </w:rPr>
              <w:t>«     »</w:t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Pr="00975720">
              <w:rPr>
                <w:i/>
                <w:iCs/>
                <w:sz w:val="20"/>
                <w:szCs w:val="20"/>
              </w:rPr>
              <w:tab/>
            </w:r>
            <w:r w:rsidRPr="00975720">
              <w:rPr>
                <w:i/>
                <w:iCs/>
                <w:sz w:val="20"/>
                <w:szCs w:val="20"/>
              </w:rPr>
              <w:tab/>
              <w:t>г.</w:t>
            </w:r>
          </w:p>
        </w:tc>
      </w:tr>
      <w:tr w:rsidR="00057224" w:rsidRPr="00975720" w:rsidTr="00A8587E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057224" w:rsidRPr="00975720" w:rsidRDefault="00057224" w:rsidP="006A32BE">
            <w:pPr>
              <w:pStyle w:val="a9"/>
              <w:spacing w:before="0"/>
              <w:rPr>
                <w:sz w:val="20"/>
                <w:szCs w:val="20"/>
              </w:rPr>
            </w:pPr>
            <w:r w:rsidRPr="00975720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057224" w:rsidRPr="00975720" w:rsidRDefault="00057224" w:rsidP="006A32BE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057224" w:rsidRPr="00975720" w:rsidRDefault="00057224" w:rsidP="006A32BE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057224" w:rsidRPr="00975720" w:rsidRDefault="00057224" w:rsidP="006A32BE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057224" w:rsidRPr="00975720" w:rsidRDefault="00057224" w:rsidP="006A32BE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975720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2133A0" w:rsidRPr="00EC675E" w:rsidRDefault="002133A0" w:rsidP="006A3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133A0" w:rsidRPr="00EC675E" w:rsidSect="0094114E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773" w:rsidRDefault="00F40773" w:rsidP="00EC675E">
      <w:pPr>
        <w:spacing w:after="0" w:line="240" w:lineRule="auto"/>
      </w:pPr>
      <w:r>
        <w:separator/>
      </w:r>
    </w:p>
  </w:endnote>
  <w:endnote w:type="continuationSeparator" w:id="1">
    <w:p w:rsidR="00F40773" w:rsidRDefault="00F40773" w:rsidP="00E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773" w:rsidRDefault="00F40773" w:rsidP="00EC675E">
      <w:pPr>
        <w:spacing w:after="0" w:line="240" w:lineRule="auto"/>
      </w:pPr>
      <w:r>
        <w:separator/>
      </w:r>
    </w:p>
  </w:footnote>
  <w:footnote w:type="continuationSeparator" w:id="1">
    <w:p w:rsidR="00F40773" w:rsidRDefault="00F40773" w:rsidP="00EC675E">
      <w:pPr>
        <w:spacing w:after="0" w:line="240" w:lineRule="auto"/>
      </w:pPr>
      <w:r>
        <w:continuationSeparator/>
      </w:r>
    </w:p>
  </w:footnote>
  <w:footnote w:id="2">
    <w:p w:rsidR="00E82415" w:rsidRDefault="00E82415" w:rsidP="00E82415">
      <w:pPr>
        <w:pStyle w:val="ae"/>
      </w:pPr>
      <w:r>
        <w:rPr>
          <w:rStyle w:val="af0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</w:t>
      </w:r>
      <w:r>
        <w:t>и</w:t>
      </w:r>
      <w:r>
        <w:t xml:space="preserve">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C675E"/>
    <w:rsid w:val="0001150B"/>
    <w:rsid w:val="00024942"/>
    <w:rsid w:val="00044E86"/>
    <w:rsid w:val="00057224"/>
    <w:rsid w:val="00086003"/>
    <w:rsid w:val="00097D02"/>
    <w:rsid w:val="000A19CB"/>
    <w:rsid w:val="000B28A4"/>
    <w:rsid w:val="00130462"/>
    <w:rsid w:val="00161BF8"/>
    <w:rsid w:val="00162AC0"/>
    <w:rsid w:val="002133A0"/>
    <w:rsid w:val="00291C5F"/>
    <w:rsid w:val="002A071A"/>
    <w:rsid w:val="002E5D12"/>
    <w:rsid w:val="00356C56"/>
    <w:rsid w:val="003E0672"/>
    <w:rsid w:val="00433EC6"/>
    <w:rsid w:val="004633B0"/>
    <w:rsid w:val="00470296"/>
    <w:rsid w:val="00482368"/>
    <w:rsid w:val="0048700B"/>
    <w:rsid w:val="00492F57"/>
    <w:rsid w:val="00494B25"/>
    <w:rsid w:val="004B1D8A"/>
    <w:rsid w:val="004E0FD4"/>
    <w:rsid w:val="0051366E"/>
    <w:rsid w:val="0053787E"/>
    <w:rsid w:val="0065306B"/>
    <w:rsid w:val="0066014C"/>
    <w:rsid w:val="00695685"/>
    <w:rsid w:val="006A32BE"/>
    <w:rsid w:val="006B3811"/>
    <w:rsid w:val="006D3743"/>
    <w:rsid w:val="006D5501"/>
    <w:rsid w:val="0072142F"/>
    <w:rsid w:val="007C6436"/>
    <w:rsid w:val="00802CD1"/>
    <w:rsid w:val="00845458"/>
    <w:rsid w:val="00873D82"/>
    <w:rsid w:val="00905743"/>
    <w:rsid w:val="009316F8"/>
    <w:rsid w:val="0094114E"/>
    <w:rsid w:val="00952185"/>
    <w:rsid w:val="009F6E72"/>
    <w:rsid w:val="00A01FF1"/>
    <w:rsid w:val="00AB23B9"/>
    <w:rsid w:val="00AB6FF9"/>
    <w:rsid w:val="00B42E72"/>
    <w:rsid w:val="00B81778"/>
    <w:rsid w:val="00B95FE9"/>
    <w:rsid w:val="00BE6A29"/>
    <w:rsid w:val="00BF588E"/>
    <w:rsid w:val="00C111D8"/>
    <w:rsid w:val="00C979DD"/>
    <w:rsid w:val="00CC0C59"/>
    <w:rsid w:val="00CF33EF"/>
    <w:rsid w:val="00CF5B6B"/>
    <w:rsid w:val="00D50421"/>
    <w:rsid w:val="00D55F80"/>
    <w:rsid w:val="00E25966"/>
    <w:rsid w:val="00E3451D"/>
    <w:rsid w:val="00E43DF9"/>
    <w:rsid w:val="00E66B10"/>
    <w:rsid w:val="00E82415"/>
    <w:rsid w:val="00EC675E"/>
    <w:rsid w:val="00EE79A3"/>
    <w:rsid w:val="00F40773"/>
    <w:rsid w:val="00FA41D5"/>
    <w:rsid w:val="00FF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7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C6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C675E"/>
  </w:style>
  <w:style w:type="paragraph" w:styleId="a6">
    <w:name w:val="footer"/>
    <w:basedOn w:val="a"/>
    <w:link w:val="a7"/>
    <w:uiPriority w:val="99"/>
    <w:semiHidden/>
    <w:unhideWhenUsed/>
    <w:rsid w:val="00EC6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675E"/>
  </w:style>
  <w:style w:type="paragraph" w:customStyle="1" w:styleId="Times12">
    <w:name w:val="Times 12"/>
    <w:basedOn w:val="a"/>
    <w:rsid w:val="00EC675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character" w:customStyle="1" w:styleId="a8">
    <w:name w:val="Основной текст_"/>
    <w:link w:val="3"/>
    <w:rsid w:val="002133A0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8"/>
    <w:rsid w:val="002133A0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9">
    <w:name w:val="Title"/>
    <w:basedOn w:val="a"/>
    <w:link w:val="aa"/>
    <w:qFormat/>
    <w:rsid w:val="002133A0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a">
    <w:name w:val="Название Знак"/>
    <w:basedOn w:val="a0"/>
    <w:link w:val="a9"/>
    <w:rsid w:val="002133A0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2133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Мой Список,Bullet_IRAO"/>
    <w:basedOn w:val="a"/>
    <w:link w:val="ac"/>
    <w:uiPriority w:val="34"/>
    <w:qFormat/>
    <w:rsid w:val="000B28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0B28A4"/>
    <w:rPr>
      <w:color w:val="0000FF" w:themeColor="hyperlink"/>
      <w:u w:val="single"/>
    </w:rPr>
  </w:style>
  <w:style w:type="character" w:customStyle="1" w:styleId="ac">
    <w:name w:val="Абзац списка Знак"/>
    <w:aliases w:val="Мой Список Знак,Bullet_IRAO Знак"/>
    <w:link w:val="ab"/>
    <w:uiPriority w:val="34"/>
    <w:locked/>
    <w:rsid w:val="00FF2CE4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E82415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82415"/>
    <w:rPr>
      <w:rFonts w:ascii="Calibri" w:eastAsiaTheme="minorHAnsi" w:hAnsi="Calibri" w:cs="Calibri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8241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D2A84-89E2-49F6-8326-565E4663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Shadrichev_AV</dc:creator>
  <cp:keywords/>
  <dc:description/>
  <cp:lastModifiedBy>dmitrieva_ai</cp:lastModifiedBy>
  <cp:revision>33</cp:revision>
  <dcterms:created xsi:type="dcterms:W3CDTF">2017-07-07T07:52:00Z</dcterms:created>
  <dcterms:modified xsi:type="dcterms:W3CDTF">2021-12-24T09:48:00Z</dcterms:modified>
</cp:coreProperties>
</file>