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1F96">
        <w:rPr>
          <w:rFonts w:ascii="Times New Roman" w:hAnsi="Times New Roman"/>
          <w:b/>
          <w:szCs w:val="22"/>
        </w:rPr>
        <w:t>135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901F96">
        <w:rPr>
          <w:rFonts w:ascii="Times New Roman" w:hAnsi="Times New Roman"/>
          <w:szCs w:val="22"/>
        </w:rPr>
        <w:t>офисной и металлической мебели в 2023 году</w:t>
      </w:r>
      <w:r w:rsidR="00A05008">
        <w:rPr>
          <w:rFonts w:ascii="Times New Roman" w:hAnsi="Times New Roman"/>
          <w:szCs w:val="22"/>
        </w:rPr>
        <w:t xml:space="preserve">,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B39A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C215D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91FBF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1F96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B39A8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72</cp:revision>
  <dcterms:created xsi:type="dcterms:W3CDTF">2016-11-30T12:38:00Z</dcterms:created>
  <dcterms:modified xsi:type="dcterms:W3CDTF">2022-10-06T08:53:00Z</dcterms:modified>
</cp:coreProperties>
</file>