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7CE" w:rsidRDefault="004127CE" w:rsidP="004127CE">
      <w:pPr>
        <w:jc w:val="center"/>
        <w:rPr>
          <w:rFonts w:ascii="Arial" w:hAnsi="Arial" w:cs="Arial"/>
          <w:b/>
          <w:color w:val="000000"/>
          <w:sz w:val="20"/>
          <w:szCs w:val="20"/>
        </w:rPr>
      </w:pPr>
      <w:bookmarkStart w:id="0" w:name="_GoBack"/>
      <w:bookmarkEnd w:id="0"/>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№________________от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3"/>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4"/>
      </w:r>
      <w:r>
        <w:rPr>
          <w:rFonts w:ascii="Arial" w:hAnsi="Arial" w:cs="Arial"/>
          <w:i/>
          <w:sz w:val="20"/>
          <w:szCs w:val="20"/>
        </w:rPr>
        <w:t xml:space="preserve"> Товара.</w:t>
      </w:r>
      <w:r w:rsidRPr="006B57C1">
        <w:rPr>
          <w:rStyle w:val="a5"/>
          <w:rFonts w:ascii="Arial" w:hAnsi="Arial" w:cs="Arial"/>
          <w:i/>
          <w:sz w:val="20"/>
          <w:szCs w:val="20"/>
        </w:rPr>
        <w:footnoteReference w:id="5"/>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6"/>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7"/>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8"/>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r w:rsidRPr="001860B3">
        <w:rPr>
          <w:rFonts w:ascii="Arial" w:hAnsi="Arial" w:cs="Arial"/>
          <w:i/>
          <w:sz w:val="18"/>
          <w:szCs w:val="18"/>
        </w:rPr>
        <w:t>Инкотермс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w:t>
      </w:r>
      <w:r w:rsidRPr="00E55345">
        <w:rPr>
          <w:rFonts w:ascii="Arial" w:hAnsi="Arial" w:cs="Arial"/>
          <w:i/>
          <w:sz w:val="20"/>
          <w:szCs w:val="20"/>
        </w:rPr>
        <w:lastRenderedPageBreak/>
        <w:t>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756935">
        <w:rPr>
          <w:rFonts w:ascii="Arial" w:hAnsi="Arial" w:cs="Arial"/>
          <w:color w:val="000000"/>
          <w:sz w:val="20"/>
          <w:szCs w:val="20"/>
        </w:rPr>
        <w:t>на</w:t>
      </w:r>
      <w:r w:rsidRPr="006B57C1">
        <w:rPr>
          <w:rFonts w:ascii="Arial" w:hAnsi="Arial" w:cs="Arial"/>
          <w:color w:val="000000"/>
          <w:sz w:val="20"/>
          <w:szCs w:val="20"/>
        </w:rPr>
        <w:t xml:space="preserve"> </w:t>
      </w:r>
      <w:r w:rsidR="00C57B02">
        <w:rPr>
          <w:rFonts w:ascii="Arial" w:hAnsi="Arial" w:cs="Arial"/>
          <w:color w:val="000000"/>
          <w:sz w:val="20"/>
          <w:szCs w:val="20"/>
        </w:rPr>
        <w:t>60</w:t>
      </w:r>
      <w:r w:rsidR="008C6304">
        <w:rPr>
          <w:rFonts w:ascii="Arial" w:hAnsi="Arial" w:cs="Arial"/>
          <w:color w:val="000000"/>
          <w:sz w:val="20"/>
          <w:szCs w:val="20"/>
        </w:rPr>
        <w:t xml:space="preserve"> (</w:t>
      </w:r>
      <w:r w:rsidR="00C57B02">
        <w:rPr>
          <w:rFonts w:ascii="Arial" w:hAnsi="Arial" w:cs="Arial"/>
          <w:color w:val="000000"/>
          <w:sz w:val="20"/>
          <w:szCs w:val="20"/>
        </w:rPr>
        <w:t>шестидесятый</w:t>
      </w:r>
      <w:r w:rsidR="008C6304">
        <w:rPr>
          <w:rFonts w:ascii="Arial" w:hAnsi="Arial" w:cs="Arial"/>
          <w:color w:val="000000"/>
          <w:sz w:val="20"/>
          <w:szCs w:val="20"/>
        </w:rPr>
        <w:t>)</w:t>
      </w:r>
      <w:r w:rsidR="003531C9">
        <w:rPr>
          <w:rFonts w:ascii="Arial" w:hAnsi="Arial" w:cs="Arial"/>
          <w:color w:val="000000"/>
          <w:sz w:val="20"/>
          <w:szCs w:val="20"/>
        </w:rPr>
        <w:t>календарный день</w:t>
      </w:r>
      <w:r w:rsidRPr="006B57C1">
        <w:rPr>
          <w:rFonts w:ascii="Arial" w:hAnsi="Arial" w:cs="Arial"/>
          <w:color w:val="000000"/>
          <w:sz w:val="20"/>
          <w:szCs w:val="20"/>
        </w:rPr>
        <w:t xml:space="preserve">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r w:rsidRPr="008A0AD5">
        <w:rPr>
          <w:rFonts w:ascii="Arial" w:hAnsi="Arial" w:cs="Arial"/>
          <w:color w:val="000000"/>
          <w:sz w:val="20"/>
          <w:szCs w:val="20"/>
        </w:rPr>
        <w:t>составляет</w:t>
      </w:r>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9"/>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0"/>
      </w:r>
      <w:r w:rsidRPr="00C52691">
        <w:rPr>
          <w:rFonts w:ascii="Arial" w:hAnsi="Arial" w:cs="Arial"/>
          <w:sz w:val="20"/>
          <w:szCs w:val="20"/>
        </w:rPr>
        <w:t>.</w:t>
      </w:r>
      <w:r w:rsidRPr="00C52691">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 xml:space="preserve">От Поставщика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CEB" w:rsidRDefault="00992CEB" w:rsidP="004127CE">
      <w:r>
        <w:separator/>
      </w:r>
    </w:p>
  </w:endnote>
  <w:endnote w:type="continuationSeparator" w:id="0">
    <w:p w:rsidR="00992CEB" w:rsidRDefault="00992CEB" w:rsidP="0041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CEB" w:rsidRDefault="00992CEB" w:rsidP="004127CE">
      <w:r>
        <w:separator/>
      </w:r>
    </w:p>
  </w:footnote>
  <w:footnote w:type="continuationSeparator" w:id="0">
    <w:p w:rsidR="00992CEB" w:rsidRDefault="00992CEB"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4">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5">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6">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7">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9">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0">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Пункт включается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556"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27CE"/>
    <w:rsid w:val="00097058"/>
    <w:rsid w:val="000B0AAD"/>
    <w:rsid w:val="000B1E36"/>
    <w:rsid w:val="001564C2"/>
    <w:rsid w:val="00207653"/>
    <w:rsid w:val="002256C4"/>
    <w:rsid w:val="003531C9"/>
    <w:rsid w:val="00360D8B"/>
    <w:rsid w:val="003A4759"/>
    <w:rsid w:val="003B4E7E"/>
    <w:rsid w:val="003E1AD3"/>
    <w:rsid w:val="004127CE"/>
    <w:rsid w:val="004A0E3B"/>
    <w:rsid w:val="004B4E71"/>
    <w:rsid w:val="004D26A2"/>
    <w:rsid w:val="005164C4"/>
    <w:rsid w:val="00612DDE"/>
    <w:rsid w:val="006B1339"/>
    <w:rsid w:val="006C7CE9"/>
    <w:rsid w:val="007343EC"/>
    <w:rsid w:val="00756935"/>
    <w:rsid w:val="00794FE7"/>
    <w:rsid w:val="007B73D2"/>
    <w:rsid w:val="007D33EA"/>
    <w:rsid w:val="00824CF5"/>
    <w:rsid w:val="00854ED6"/>
    <w:rsid w:val="00881BE3"/>
    <w:rsid w:val="008C4F59"/>
    <w:rsid w:val="008C6304"/>
    <w:rsid w:val="008E0F9E"/>
    <w:rsid w:val="009662B7"/>
    <w:rsid w:val="00992CEB"/>
    <w:rsid w:val="009C33EE"/>
    <w:rsid w:val="009E01B5"/>
    <w:rsid w:val="009E2E3F"/>
    <w:rsid w:val="00AE2657"/>
    <w:rsid w:val="00AE7DC5"/>
    <w:rsid w:val="00B51C30"/>
    <w:rsid w:val="00B61B3C"/>
    <w:rsid w:val="00BC7AE1"/>
    <w:rsid w:val="00C148EC"/>
    <w:rsid w:val="00C32CEB"/>
    <w:rsid w:val="00C355A7"/>
    <w:rsid w:val="00C57B02"/>
    <w:rsid w:val="00E63A94"/>
    <w:rsid w:val="00FA2DA5"/>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91A92-C231-4D9B-9303-79F4C2A9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1170</Words>
  <Characters>6673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Макаровская Нина Сергеевна</cp:lastModifiedBy>
  <cp:revision>21</cp:revision>
  <dcterms:created xsi:type="dcterms:W3CDTF">2021-01-29T12:13:00Z</dcterms:created>
  <dcterms:modified xsi:type="dcterms:W3CDTF">2025-05-05T06:29:00Z</dcterms:modified>
</cp:coreProperties>
</file>