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BD" w:rsidRPr="00AE4410" w:rsidRDefault="00A428B5" w:rsidP="003F5C9D">
      <w:pPr>
        <w:shd w:val="clear" w:color="auto" w:fill="FFFFFF"/>
        <w:jc w:val="right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AE4410">
        <w:rPr>
          <w:rFonts w:ascii="Arial" w:eastAsia="Times New Roman" w:hAnsi="Arial" w:cs="Arial"/>
          <w:bCs/>
          <w:color w:val="000000"/>
          <w:sz w:val="24"/>
          <w:szCs w:val="24"/>
        </w:rPr>
        <w:t>Приложение</w:t>
      </w:r>
      <w:r w:rsidR="0022248A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7544A0">
        <w:rPr>
          <w:rFonts w:ascii="Arial" w:eastAsia="Times New Roman" w:hAnsi="Arial" w:cs="Arial"/>
          <w:bCs/>
          <w:color w:val="000000"/>
          <w:sz w:val="24"/>
          <w:szCs w:val="24"/>
        </w:rPr>
        <w:t>12</w:t>
      </w:r>
    </w:p>
    <w:p w:rsidR="003F5C9D" w:rsidRDefault="00AE4410" w:rsidP="001504D5">
      <w:pPr>
        <w:shd w:val="clear" w:color="auto" w:fill="FFFFFF"/>
        <w:jc w:val="right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AE4410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к </w:t>
      </w:r>
      <w:r w:rsidR="001B679C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ДОГОВОРУ № </w:t>
      </w:r>
      <w:r w:rsidR="001504D5">
        <w:rPr>
          <w:rFonts w:ascii="Arial" w:eastAsia="Times New Roman" w:hAnsi="Arial" w:cs="Arial"/>
          <w:bCs/>
          <w:color w:val="000000"/>
          <w:sz w:val="24"/>
          <w:szCs w:val="24"/>
        </w:rPr>
        <w:t>________</w:t>
      </w:r>
      <w:proofErr w:type="gramStart"/>
      <w:r w:rsidR="001B679C">
        <w:rPr>
          <w:rFonts w:ascii="Arial" w:eastAsia="Times New Roman" w:hAnsi="Arial" w:cs="Arial"/>
          <w:bCs/>
          <w:color w:val="000000"/>
          <w:sz w:val="24"/>
          <w:szCs w:val="24"/>
        </w:rPr>
        <w:t>от</w:t>
      </w:r>
      <w:proofErr w:type="gramEnd"/>
      <w:r w:rsidR="001B679C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___________</w:t>
      </w:r>
    </w:p>
    <w:p w:rsidR="001504D5" w:rsidRPr="00AE4410" w:rsidRDefault="001504D5" w:rsidP="001504D5">
      <w:pPr>
        <w:shd w:val="clear" w:color="auto" w:fill="FFFFFF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93DBD" w:rsidRPr="00272F76" w:rsidRDefault="00A428B5" w:rsidP="003F5C9D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Требования к подрядным организациям в части медицинского</w:t>
      </w:r>
    </w:p>
    <w:p w:rsidR="00493DBD" w:rsidRPr="00272F76" w:rsidRDefault="00A428B5" w:rsidP="003F5C9D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обеспечения и проведения медицинских осмотров работников</w:t>
      </w:r>
    </w:p>
    <w:p w:rsidR="00493DBD" w:rsidRPr="00272F76" w:rsidRDefault="00A428B5" w:rsidP="003F5C9D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подрядных организаций, выполняющих работы/оказывающих услуги на</w:t>
      </w:r>
    </w:p>
    <w:p w:rsidR="00493DBD" w:rsidRPr="00272F76" w:rsidRDefault="00AE4410" w:rsidP="003F5C9D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производственных объектах </w:t>
      </w:r>
      <w:r w:rsidR="004E49E0">
        <w:rPr>
          <w:rFonts w:ascii="Arial" w:eastAsia="Times New Roman" w:hAnsi="Arial" w:cs="Arial"/>
          <w:b/>
          <w:bCs/>
          <w:color w:val="000000"/>
          <w:sz w:val="24"/>
          <w:szCs w:val="24"/>
        </w:rPr>
        <w:t>Заказчика</w:t>
      </w:r>
    </w:p>
    <w:p w:rsidR="003F5C9D" w:rsidRPr="00272F76" w:rsidRDefault="003F5C9D" w:rsidP="003F5C9D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1.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Предварительный медицинский осмотр</w:t>
      </w:r>
    </w:p>
    <w:p w:rsidR="00493DBD" w:rsidRPr="00272F76" w:rsidRDefault="00A428B5" w:rsidP="003F5C9D">
      <w:pPr>
        <w:shd w:val="clear" w:color="auto" w:fill="FFFFFF"/>
        <w:ind w:firstLine="658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До начала выполнения работ/оказания услуг,</w:t>
      </w:r>
      <w:r w:rsidR="001B679C">
        <w:rPr>
          <w:rFonts w:ascii="Arial" w:eastAsia="Times New Roman" w:hAnsi="Arial" w:cs="Arial"/>
          <w:color w:val="000000"/>
          <w:sz w:val="24"/>
          <w:szCs w:val="24"/>
        </w:rPr>
        <w:t xml:space="preserve"> Исполнитель</w:t>
      </w:r>
      <w:r w:rsidRPr="00272F7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679C">
        <w:rPr>
          <w:rFonts w:ascii="Arial" w:eastAsia="Times New Roman" w:hAnsi="Arial" w:cs="Arial"/>
          <w:color w:val="000000"/>
          <w:sz w:val="24"/>
          <w:szCs w:val="24"/>
        </w:rPr>
        <w:t xml:space="preserve">(далее по тексту </w:t>
      </w:r>
      <w:r w:rsidRPr="00272F76">
        <w:rPr>
          <w:rFonts w:ascii="Arial" w:eastAsia="Times New Roman" w:hAnsi="Arial" w:cs="Arial"/>
          <w:color w:val="000000"/>
          <w:sz w:val="24"/>
          <w:szCs w:val="24"/>
        </w:rPr>
        <w:t>подрядная организация</w:t>
      </w:r>
      <w:r w:rsidR="001B679C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272F76">
        <w:rPr>
          <w:rFonts w:ascii="Arial" w:eastAsia="Times New Roman" w:hAnsi="Arial" w:cs="Arial"/>
          <w:color w:val="000000"/>
          <w:sz w:val="24"/>
          <w:szCs w:val="24"/>
        </w:rPr>
        <w:t>Подрядчик) обязана организовать и оплатить за счет собственных сре</w:t>
      </w:r>
      <w:proofErr w:type="gramStart"/>
      <w:r w:rsidRPr="00272F76">
        <w:rPr>
          <w:rFonts w:ascii="Arial" w:eastAsia="Times New Roman" w:hAnsi="Arial" w:cs="Arial"/>
          <w:color w:val="000000"/>
          <w:sz w:val="24"/>
          <w:szCs w:val="24"/>
        </w:rPr>
        <w:t>дств пр</w:t>
      </w:r>
      <w:proofErr w:type="gramEnd"/>
      <w:r w:rsidRPr="00272F76">
        <w:rPr>
          <w:rFonts w:ascii="Arial" w:eastAsia="Times New Roman" w:hAnsi="Arial" w:cs="Arial"/>
          <w:color w:val="000000"/>
          <w:sz w:val="24"/>
          <w:szCs w:val="24"/>
        </w:rPr>
        <w:t>оведение предварительного медицинского осмотра работников на предмет отсутствия противопоказаний по состоянию здоровья к выполняемым работам, согласно Приказа Минздравсоцразвития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Периодический медицинский осмотр</w:t>
      </w:r>
    </w:p>
    <w:p w:rsidR="00493DBD" w:rsidRPr="00272F76" w:rsidRDefault="00A428B5" w:rsidP="003F5C9D">
      <w:pPr>
        <w:shd w:val="clear" w:color="auto" w:fill="FFFFFF"/>
        <w:ind w:firstLine="658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Подрядчик должен организовать и оплатить за счет собственных средств проведение периодического медицинского осмотра работников в соответствии с Приказом Минздравсоцразвития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3.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Медицинское обслуживание работников</w:t>
      </w:r>
    </w:p>
    <w:p w:rsidR="00493DBD" w:rsidRPr="00272F76" w:rsidRDefault="00A428B5" w:rsidP="003F5C9D">
      <w:pPr>
        <w:shd w:val="clear" w:color="auto" w:fill="FFFFFF"/>
        <w:ind w:firstLine="518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Подрядчик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Закона № 323-ФЗ «Об основах охраны здоровья граждан Российской Федерации» (статьи 24,98).</w:t>
      </w:r>
    </w:p>
    <w:p w:rsidR="00493DBD" w:rsidRPr="00272F76" w:rsidRDefault="00A428B5" w:rsidP="003F5C9D">
      <w:pPr>
        <w:shd w:val="clear" w:color="auto" w:fill="FFFFFF"/>
        <w:ind w:firstLine="662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Экстренная первичная медико-санитарная медицинская помощь работникам Подрядчика (в случаях травм, острых заболеваний) оказывается персоналом здравпунктов</w:t>
      </w:r>
      <w:r w:rsidR="00CA048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2F76">
        <w:rPr>
          <w:rFonts w:ascii="Arial" w:eastAsia="Times New Roman" w:hAnsi="Arial" w:cs="Arial"/>
          <w:color w:val="000000"/>
          <w:sz w:val="24"/>
          <w:szCs w:val="24"/>
        </w:rPr>
        <w:t>Обществ</w:t>
      </w:r>
      <w:r w:rsidR="00CA048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2F76">
        <w:rPr>
          <w:rFonts w:ascii="Arial" w:eastAsia="Times New Roman" w:hAnsi="Arial" w:cs="Arial"/>
          <w:color w:val="000000"/>
          <w:sz w:val="24"/>
          <w:szCs w:val="24"/>
        </w:rPr>
        <w:t>или</w:t>
      </w:r>
      <w:r w:rsidR="00CA048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bookmarkStart w:id="0" w:name="_GoBack"/>
      <w:bookmarkEnd w:id="0"/>
      <w:r w:rsidRPr="00272F76">
        <w:rPr>
          <w:rFonts w:ascii="Arial" w:eastAsia="Times New Roman" w:hAnsi="Arial" w:cs="Arial"/>
          <w:color w:val="000000"/>
          <w:sz w:val="24"/>
          <w:szCs w:val="24"/>
        </w:rPr>
        <w:t>здравпунктами Подрядчика в соответствии с Планом экстренного медицинского реагирования на участке проведения работ.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4.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proofErr w:type="spellStart"/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Предвахтовый</w:t>
      </w:r>
      <w:proofErr w:type="spellEnd"/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медицинский осмотр</w:t>
      </w:r>
    </w:p>
    <w:p w:rsidR="00493DBD" w:rsidRPr="00272F76" w:rsidRDefault="00A428B5" w:rsidP="003F5C9D">
      <w:pPr>
        <w:shd w:val="clear" w:color="auto" w:fill="FFFFFF"/>
        <w:ind w:firstLine="658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 xml:space="preserve">При выполнении работ/оказании услуг вахтовым методом, Подрядчик должен организовать из собственных средств </w:t>
      </w:r>
      <w:proofErr w:type="spellStart"/>
      <w:r w:rsidRPr="00272F76">
        <w:rPr>
          <w:rFonts w:ascii="Arial" w:eastAsia="Times New Roman" w:hAnsi="Arial" w:cs="Arial"/>
          <w:color w:val="000000"/>
          <w:sz w:val="24"/>
          <w:szCs w:val="24"/>
        </w:rPr>
        <w:t>предвахтовый</w:t>
      </w:r>
      <w:proofErr w:type="spellEnd"/>
      <w:r w:rsidRPr="00272F76">
        <w:rPr>
          <w:rFonts w:ascii="Arial" w:eastAsia="Times New Roman" w:hAnsi="Arial" w:cs="Arial"/>
          <w:color w:val="000000"/>
          <w:sz w:val="24"/>
          <w:szCs w:val="24"/>
        </w:rPr>
        <w:t xml:space="preserve"> медицинский осмотр, в соответствии с п. 8 Постановления №794/33-82 от 31.12.1987 «Основные положения о вахтовом методе организации работ».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5.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Предрейсовый медицинский осмотр</w:t>
      </w:r>
    </w:p>
    <w:p w:rsidR="00493DBD" w:rsidRPr="00272F76" w:rsidRDefault="00A428B5" w:rsidP="003F5C9D">
      <w:pPr>
        <w:shd w:val="clear" w:color="auto" w:fill="FFFFFF"/>
        <w:ind w:firstLine="658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Подрядчик обязан организовать проведение предрейсовых (послерейсовых) медицинских осмотров водителей, на период выполнения работ/услуг на производственны</w:t>
      </w:r>
      <w:r w:rsidR="007D1897">
        <w:rPr>
          <w:rFonts w:ascii="Arial" w:eastAsia="Times New Roman" w:hAnsi="Arial" w:cs="Arial"/>
          <w:color w:val="000000"/>
          <w:sz w:val="24"/>
          <w:szCs w:val="24"/>
        </w:rPr>
        <w:t xml:space="preserve">х объектах </w:t>
      </w:r>
      <w:r w:rsidR="0050600D">
        <w:rPr>
          <w:rFonts w:ascii="Arial" w:eastAsia="Times New Roman" w:hAnsi="Arial" w:cs="Arial"/>
          <w:color w:val="000000"/>
          <w:sz w:val="24"/>
          <w:szCs w:val="24"/>
        </w:rPr>
        <w:t>ПАО</w:t>
      </w:r>
      <w:r w:rsidR="007D1897">
        <w:rPr>
          <w:rFonts w:ascii="Arial" w:eastAsia="Times New Roman" w:hAnsi="Arial" w:cs="Arial"/>
          <w:color w:val="000000"/>
          <w:sz w:val="24"/>
          <w:szCs w:val="24"/>
        </w:rPr>
        <w:t xml:space="preserve"> «</w:t>
      </w:r>
      <w:r w:rsidR="0050600D">
        <w:rPr>
          <w:rFonts w:ascii="Arial" w:eastAsia="Times New Roman" w:hAnsi="Arial" w:cs="Arial"/>
          <w:color w:val="000000"/>
          <w:sz w:val="24"/>
          <w:szCs w:val="24"/>
        </w:rPr>
        <w:t>ВСНК</w:t>
      </w:r>
      <w:r w:rsidR="007D1897">
        <w:rPr>
          <w:rFonts w:ascii="Arial" w:eastAsia="Times New Roman" w:hAnsi="Arial" w:cs="Arial"/>
          <w:color w:val="000000"/>
          <w:sz w:val="24"/>
          <w:szCs w:val="24"/>
        </w:rPr>
        <w:t>»</w:t>
      </w:r>
      <w:r w:rsidRPr="00272F76">
        <w:rPr>
          <w:rFonts w:ascii="Arial" w:eastAsia="Times New Roman" w:hAnsi="Arial" w:cs="Arial"/>
          <w:color w:val="000000"/>
          <w:sz w:val="24"/>
          <w:szCs w:val="24"/>
        </w:rPr>
        <w:t xml:space="preserve"> в соответствии с Федеральным законом Российской Федерации от 10.12.1995 №196-ФЗ «О безопасности дорожного движения»</w:t>
      </w:r>
      <w:r w:rsidR="007D189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6.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Страхование</w:t>
      </w:r>
    </w:p>
    <w:p w:rsidR="00493DBD" w:rsidRPr="00272F76" w:rsidRDefault="00A428B5" w:rsidP="003F5C9D">
      <w:pPr>
        <w:shd w:val="clear" w:color="auto" w:fill="FFFFFF"/>
        <w:ind w:firstLine="662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Каждый сотрудник Подрядчика 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7.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Оказание первой помощи</w:t>
      </w:r>
    </w:p>
    <w:p w:rsidR="00493DBD" w:rsidRPr="00272F76" w:rsidRDefault="00A428B5" w:rsidP="003F5C9D">
      <w:pPr>
        <w:shd w:val="clear" w:color="auto" w:fill="FFFFFF"/>
        <w:ind w:firstLine="504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Подрядчик обязан организовать обучение своих сотрудников оказанию первой помощи в соответствии с требованиями Трудового кодекса Российской Федерации (Статья 225. Обучение в области охраны труда) и Правил безопасности в нефтяной и газовой промышленности, утвержденными в 2003г. ПБ 08-624-03, 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Минздравсоцразвития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8.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Проверка Подрядчика</w:t>
      </w:r>
    </w:p>
    <w:p w:rsidR="00493DBD" w:rsidRPr="00272F76" w:rsidRDefault="006F143E" w:rsidP="003F5C9D">
      <w:pPr>
        <w:shd w:val="clear" w:color="auto" w:fill="FFFFFF"/>
        <w:ind w:firstLine="662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Заказчик (ООО «</w:t>
      </w:r>
      <w:r w:rsidR="0050600D">
        <w:rPr>
          <w:rFonts w:ascii="Arial" w:eastAsia="Times New Roman" w:hAnsi="Arial" w:cs="Arial"/>
          <w:color w:val="000000"/>
          <w:sz w:val="24"/>
          <w:szCs w:val="24"/>
        </w:rPr>
        <w:t>БНГРЭ</w:t>
      </w:r>
      <w:r>
        <w:rPr>
          <w:rFonts w:ascii="Arial" w:eastAsia="Times New Roman" w:hAnsi="Arial" w:cs="Arial"/>
          <w:color w:val="000000"/>
          <w:sz w:val="24"/>
          <w:szCs w:val="24"/>
        </w:rPr>
        <w:t>»</w:t>
      </w:r>
      <w:r w:rsidR="00A428B5" w:rsidRPr="00272F76">
        <w:rPr>
          <w:rFonts w:ascii="Arial" w:eastAsia="Times New Roman" w:hAnsi="Arial" w:cs="Arial"/>
          <w:color w:val="000000"/>
          <w:sz w:val="24"/>
          <w:szCs w:val="24"/>
        </w:rPr>
        <w:t>) имеет право проводить проверки медицинского обеспечения персоналом Подрядчика и наличие подтверждающих документов о прохождении им обязательных</w:t>
      </w:r>
      <w:r w:rsidR="006B75D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428B5" w:rsidRPr="00272F76">
        <w:rPr>
          <w:rFonts w:ascii="Arial" w:eastAsia="Times New Roman" w:hAnsi="Arial" w:cs="Arial"/>
          <w:color w:val="000000"/>
          <w:sz w:val="24"/>
          <w:szCs w:val="24"/>
        </w:rPr>
        <w:t>медицинских осмотров, а также участвовать в проведении расследовании несчастных случаев, связанных с нарушениями в состоянии здоровья персонала Подрядчика,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9.</w:t>
      </w:r>
      <w:r w:rsidR="003F5C9D"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Ответственность Подрядчика за несоблюдение требований</w:t>
      </w:r>
    </w:p>
    <w:p w:rsidR="00A428B5" w:rsidRDefault="00A428B5" w:rsidP="003F5C9D">
      <w:pPr>
        <w:shd w:val="clear" w:color="auto" w:fill="FFFFFF"/>
        <w:ind w:firstLine="6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Допуск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услуг является нарушением действующего законодательства и влечёт ответственность Подрядчика в размере не менее 100 тыс. руб. за каждый выявленный случай.</w:t>
      </w:r>
    </w:p>
    <w:p w:rsidR="00272F76" w:rsidRDefault="00272F76" w:rsidP="003F5C9D">
      <w:pPr>
        <w:shd w:val="clear" w:color="auto" w:fill="FFFFFF"/>
        <w:ind w:firstLine="6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72F76" w:rsidRDefault="00272F76" w:rsidP="003F5C9D">
      <w:pPr>
        <w:shd w:val="clear" w:color="auto" w:fill="FFFFFF"/>
        <w:ind w:firstLine="6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9234" w:type="dxa"/>
        <w:tblInd w:w="-6" w:type="dxa"/>
        <w:tblLook w:val="01E0" w:firstRow="1" w:lastRow="1" w:firstColumn="1" w:lastColumn="1" w:noHBand="0" w:noVBand="0"/>
      </w:tblPr>
      <w:tblGrid>
        <w:gridCol w:w="4617"/>
        <w:gridCol w:w="4617"/>
      </w:tblGrid>
      <w:tr w:rsidR="008F399E" w:rsidRPr="00950B93" w:rsidTr="00115FCC">
        <w:tc>
          <w:tcPr>
            <w:tcW w:w="4617" w:type="dxa"/>
          </w:tcPr>
          <w:p w:rsidR="008F399E" w:rsidRPr="00950B93" w:rsidRDefault="008F399E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От ЗАКАЗЧИКА</w:t>
            </w:r>
          </w:p>
        </w:tc>
        <w:tc>
          <w:tcPr>
            <w:tcW w:w="4617" w:type="dxa"/>
          </w:tcPr>
          <w:p w:rsidR="008F399E" w:rsidRPr="00950B93" w:rsidRDefault="008F399E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От ИСПОЛНИТЕЛЯ</w:t>
            </w:r>
          </w:p>
        </w:tc>
      </w:tr>
      <w:tr w:rsidR="008F399E" w:rsidRPr="00950B93" w:rsidTr="00115FCC">
        <w:tc>
          <w:tcPr>
            <w:tcW w:w="4617" w:type="dxa"/>
          </w:tcPr>
          <w:p w:rsidR="008F399E" w:rsidRPr="00950B93" w:rsidRDefault="008B0698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 w:rsidRPr="00950B93">
              <w:rPr>
                <w:rFonts w:ascii="Arial" w:hAnsi="Arial" w:cs="Arial"/>
                <w:color w:val="000000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highlight w:val="lightGray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highlight w:val="lightGray"/>
              </w:rPr>
            </w:r>
            <w:r w:rsidRPr="00950B93">
              <w:rPr>
                <w:rFonts w:ascii="Arial" w:hAnsi="Arial" w:cs="Arial"/>
                <w:color w:val="000000"/>
                <w:highlight w:val="lightGray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highlight w:val="lightGray"/>
              </w:rPr>
              <w:t>Ф.И.О:</w:t>
            </w:r>
            <w:r w:rsidRPr="00950B93">
              <w:rPr>
                <w:rFonts w:ascii="Arial" w:hAnsi="Arial" w:cs="Arial"/>
                <w:color w:val="000000"/>
                <w:highlight w:val="lightGray"/>
              </w:rPr>
              <w:fldChar w:fldCharType="end"/>
            </w:r>
            <w:r w:rsidRPr="00950B93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</w:t>
            </w:r>
            <w:r w:rsidRPr="00950B93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tab/>
            </w:r>
          </w:p>
        </w:tc>
        <w:tc>
          <w:tcPr>
            <w:tcW w:w="4617" w:type="dxa"/>
          </w:tcPr>
          <w:p w:rsidR="008F399E" w:rsidRPr="00950B93" w:rsidRDefault="008B0698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</w:rPr>
              <w:instrText>FORMTEXT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Ф.И.О: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________________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tab/>
            </w:r>
          </w:p>
        </w:tc>
      </w:tr>
      <w:tr w:rsidR="008F399E" w:rsidRPr="00950B93" w:rsidTr="00115FCC">
        <w:tc>
          <w:tcPr>
            <w:tcW w:w="4617" w:type="dxa"/>
          </w:tcPr>
          <w:p w:rsidR="008F399E" w:rsidRPr="00950B93" w:rsidRDefault="008B0698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Должность: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_______________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tab/>
            </w:r>
          </w:p>
        </w:tc>
        <w:tc>
          <w:tcPr>
            <w:tcW w:w="4617" w:type="dxa"/>
          </w:tcPr>
          <w:p w:rsidR="008F399E" w:rsidRPr="00950B93" w:rsidRDefault="008B0698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Должность: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_______________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tab/>
            </w:r>
          </w:p>
        </w:tc>
      </w:tr>
      <w:tr w:rsidR="008F399E" w:rsidRPr="00950B93" w:rsidTr="00115FCC">
        <w:tc>
          <w:tcPr>
            <w:tcW w:w="4617" w:type="dxa"/>
          </w:tcPr>
          <w:p w:rsidR="008F399E" w:rsidRPr="00950B93" w:rsidRDefault="008B0698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Дата: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_________________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</w:p>
        </w:tc>
        <w:tc>
          <w:tcPr>
            <w:tcW w:w="4617" w:type="dxa"/>
          </w:tcPr>
          <w:p w:rsidR="008F399E" w:rsidRPr="00950B93" w:rsidRDefault="008B0698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Дата: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________________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</w:p>
        </w:tc>
      </w:tr>
    </w:tbl>
    <w:p w:rsidR="00C87314" w:rsidRPr="00272F76" w:rsidRDefault="00C87314" w:rsidP="00C8731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sectPr w:rsidR="00C87314" w:rsidRPr="00272F76" w:rsidSect="003F5C9D">
      <w:pgSz w:w="11909" w:h="16834"/>
      <w:pgMar w:top="737" w:right="851" w:bottom="737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28B5"/>
    <w:rsid w:val="001504D5"/>
    <w:rsid w:val="001B679C"/>
    <w:rsid w:val="0022248A"/>
    <w:rsid w:val="00253B4B"/>
    <w:rsid w:val="00272F76"/>
    <w:rsid w:val="003F5C9D"/>
    <w:rsid w:val="00493DBD"/>
    <w:rsid w:val="004E49E0"/>
    <w:rsid w:val="0050600D"/>
    <w:rsid w:val="006A0F01"/>
    <w:rsid w:val="006B75D5"/>
    <w:rsid w:val="006F143E"/>
    <w:rsid w:val="007544A0"/>
    <w:rsid w:val="007D1897"/>
    <w:rsid w:val="00822561"/>
    <w:rsid w:val="008B0698"/>
    <w:rsid w:val="008F399E"/>
    <w:rsid w:val="00A428B5"/>
    <w:rsid w:val="00AE4410"/>
    <w:rsid w:val="00BE3F47"/>
    <w:rsid w:val="00C87314"/>
    <w:rsid w:val="00CA048B"/>
    <w:rsid w:val="00DE30A1"/>
    <w:rsid w:val="00FB3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F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8F399E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eastAsia="Times New Roman" w:hAnsi="Helv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vsvdovichenko</dc:creator>
  <cp:lastModifiedBy>Мартюшов Владимир Юрьевич</cp:lastModifiedBy>
  <cp:revision>10</cp:revision>
  <dcterms:created xsi:type="dcterms:W3CDTF">2015-11-30T08:04:00Z</dcterms:created>
  <dcterms:modified xsi:type="dcterms:W3CDTF">2018-11-20T04:35:00Z</dcterms:modified>
</cp:coreProperties>
</file>