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77777777"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ADC11B9" w14:textId="77777777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="008C55A5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кустовых площадок 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A13C6D" w:rsidRPr="00A13C6D">
        <w:rPr>
          <w:rFonts w:ascii="Times New Roman" w:hAnsi="Times New Roman"/>
          <w:color w:val="000000" w:themeColor="text1"/>
          <w:sz w:val="24"/>
        </w:rPr>
        <w:t>-202</w:t>
      </w:r>
      <w:r w:rsidR="00EE6832">
        <w:rPr>
          <w:rFonts w:ascii="Times New Roman" w:hAnsi="Times New Roman"/>
          <w:color w:val="000000" w:themeColor="text1"/>
          <w:sz w:val="24"/>
        </w:rPr>
        <w:t>7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0B4509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0B4509">
        <w:rPr>
          <w:rFonts w:ascii="Times New Roman" w:hAnsi="Times New Roman"/>
          <w:b/>
          <w:bCs/>
          <w:sz w:val="24"/>
        </w:rPr>
        <w:t>Общие положения</w:t>
      </w:r>
    </w:p>
    <w:p w14:paraId="5C36A691" w14:textId="77777777" w:rsidR="00FD2855" w:rsidRPr="00AE5280" w:rsidRDefault="00AE5280" w:rsidP="00AE528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FD2855" w:rsidRPr="00AE5280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14:paraId="37A0E583" w14:textId="77777777" w:rsidR="0067156D" w:rsidRDefault="0067156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1713394"/>
      <w:r w:rsidRPr="0067156D">
        <w:rPr>
          <w:rFonts w:ascii="Times New Roman" w:eastAsia="Times New Roman" w:hAnsi="Times New Roman" w:cs="Times New Roman"/>
          <w:sz w:val="24"/>
          <w:szCs w:val="24"/>
        </w:rPr>
        <w:t>Выполнение работ</w:t>
      </w:r>
      <w:r w:rsidR="007A2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56D">
        <w:rPr>
          <w:rFonts w:ascii="Times New Roman" w:eastAsia="Times New Roman" w:hAnsi="Times New Roman" w:cs="Times New Roman"/>
          <w:sz w:val="24"/>
          <w:szCs w:val="24"/>
        </w:rPr>
        <w:t>по утилизации отходов бурения при строительстве кустовых площадок</w:t>
      </w:r>
      <w:r w:rsidR="00002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EE6832" w:rsidRPr="00A13C6D">
        <w:rPr>
          <w:rFonts w:ascii="Times New Roman" w:hAnsi="Times New Roman"/>
          <w:color w:val="000000" w:themeColor="text1"/>
          <w:sz w:val="24"/>
        </w:rPr>
        <w:t>-202</w:t>
      </w:r>
      <w:r w:rsidR="00EE6832">
        <w:rPr>
          <w:rFonts w:ascii="Times New Roman" w:hAnsi="Times New Roman"/>
          <w:color w:val="000000" w:themeColor="text1"/>
          <w:sz w:val="24"/>
        </w:rPr>
        <w:t>7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0"/>
    <w:p w14:paraId="3291AE74" w14:textId="77777777" w:rsidR="005B6A9C" w:rsidRPr="005B6A9C" w:rsidRDefault="00B056B9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Лоты являются неделимыми.</w:t>
      </w:r>
      <w:r w:rsidR="005B6A9C" w:rsidRPr="00AF37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6A9C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  <w:bookmarkStart w:id="1" w:name="_Hlk81566523"/>
    </w:p>
    <w:p w14:paraId="19DE6625" w14:textId="77777777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Лоты закупки:</w:t>
      </w:r>
    </w:p>
    <w:p w14:paraId="0401504B" w14:textId="3AF20CAD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1</w:t>
      </w:r>
      <w:r w:rsidRPr="00856F2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28391565"/>
      <w:r w:rsidRPr="0067156D">
        <w:rPr>
          <w:rFonts w:ascii="Times New Roman" w:hAnsi="Times New Roman" w:cs="Times New Roman"/>
          <w:sz w:val="24"/>
          <w:szCs w:val="24"/>
        </w:rPr>
        <w:t xml:space="preserve">Выполнение работ по утилизации отходов </w:t>
      </w:r>
      <w:bookmarkStart w:id="3" w:name="_Hlk158318320"/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67156D">
        <w:rPr>
          <w:rFonts w:ascii="Times New Roman" w:hAnsi="Times New Roman" w:cs="Times New Roman"/>
          <w:sz w:val="24"/>
          <w:szCs w:val="24"/>
        </w:rPr>
        <w:t>при строительстве кустовых площадок</w:t>
      </w:r>
      <w:r w:rsidR="007541B3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074FDD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г.</w:t>
      </w:r>
    </w:p>
    <w:p w14:paraId="4171FF39" w14:textId="2A461791" w:rsidR="007541B3" w:rsidRDefault="007541B3" w:rsidP="007541B3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2:</w:t>
      </w:r>
      <w:r w:rsidRPr="007541B3">
        <w:rPr>
          <w:rFonts w:ascii="Times New Roman" w:hAnsi="Times New Roman" w:cs="Times New Roman"/>
          <w:sz w:val="24"/>
          <w:szCs w:val="24"/>
        </w:rPr>
        <w:t xml:space="preserve"> </w:t>
      </w:r>
      <w:r w:rsidRPr="0067156D">
        <w:rPr>
          <w:rFonts w:ascii="Times New Roman" w:hAnsi="Times New Roman" w:cs="Times New Roman"/>
          <w:sz w:val="24"/>
          <w:szCs w:val="24"/>
        </w:rPr>
        <w:t>Выполнение работ по утилизации отходов</w:t>
      </w:r>
      <w:r w:rsidR="008C55A5" w:rsidRPr="008C55A5">
        <w:rPr>
          <w:rFonts w:ascii="Times New Roman" w:hAnsi="Times New Roman" w:cs="Times New Roman"/>
          <w:sz w:val="24"/>
          <w:szCs w:val="24"/>
        </w:rPr>
        <w:t xml:space="preserve">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при строительстве кустовых площадок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EE6832" w:rsidRPr="00A13C6D">
        <w:rPr>
          <w:rFonts w:ascii="Times New Roman" w:hAnsi="Times New Roman"/>
          <w:color w:val="000000" w:themeColor="text1"/>
          <w:sz w:val="24"/>
        </w:rPr>
        <w:t>-202</w:t>
      </w:r>
      <w:r w:rsidR="00074FDD">
        <w:rPr>
          <w:rFonts w:ascii="Times New Roman" w:hAnsi="Times New Roman"/>
          <w:color w:val="000000" w:themeColor="text1"/>
          <w:sz w:val="24"/>
        </w:rPr>
        <w:t>6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</w:p>
    <w:p w14:paraId="4D590D77" w14:textId="2DDFD857" w:rsidR="00EE6832" w:rsidRDefault="007541B3" w:rsidP="00EE683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3:</w:t>
      </w:r>
      <w:r w:rsidRPr="007541B3">
        <w:rPr>
          <w:rFonts w:ascii="Times New Roman" w:hAnsi="Times New Roman" w:cs="Times New Roman"/>
          <w:sz w:val="24"/>
          <w:szCs w:val="24"/>
        </w:rPr>
        <w:t xml:space="preserve"> </w:t>
      </w:r>
      <w:r w:rsidR="00EE6832" w:rsidRPr="0067156D">
        <w:rPr>
          <w:rFonts w:ascii="Times New Roman" w:hAnsi="Times New Roman" w:cs="Times New Roman"/>
          <w:sz w:val="24"/>
          <w:szCs w:val="24"/>
        </w:rPr>
        <w:t>Выполнение работ по утилизации отходов</w:t>
      </w:r>
      <w:r w:rsidR="00EE6832" w:rsidRPr="008C55A5">
        <w:rPr>
          <w:rFonts w:ascii="Times New Roman" w:hAnsi="Times New Roman" w:cs="Times New Roman"/>
          <w:sz w:val="24"/>
          <w:szCs w:val="24"/>
        </w:rPr>
        <w:t xml:space="preserve"> </w:t>
      </w:r>
      <w:r w:rsidR="00EE6832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EE6832">
        <w:rPr>
          <w:rFonts w:ascii="Times New Roman" w:hAnsi="Times New Roman" w:cs="Times New Roman"/>
          <w:sz w:val="24"/>
          <w:szCs w:val="24"/>
        </w:rPr>
        <w:t>, образованных</w:t>
      </w:r>
      <w:r w:rsidR="00EE6832" w:rsidRPr="0067156D">
        <w:rPr>
          <w:rFonts w:ascii="Times New Roman" w:hAnsi="Times New Roman" w:cs="Times New Roman"/>
          <w:sz w:val="24"/>
          <w:szCs w:val="24"/>
        </w:rPr>
        <w:t xml:space="preserve"> при строительстве кустовых площадок</w:t>
      </w:r>
      <w:r w:rsidR="00EE6832">
        <w:rPr>
          <w:rFonts w:ascii="Times New Roman" w:hAnsi="Times New Roman" w:cs="Times New Roman"/>
          <w:sz w:val="24"/>
          <w:szCs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EE6832">
        <w:rPr>
          <w:rFonts w:ascii="Times New Roman" w:hAnsi="Times New Roman"/>
          <w:color w:val="000000" w:themeColor="text1"/>
          <w:sz w:val="24"/>
        </w:rPr>
        <w:t>Терско-Камовском</w:t>
      </w:r>
      <w:proofErr w:type="spellEnd"/>
      <w:r w:rsidR="00EE6832">
        <w:rPr>
          <w:rFonts w:ascii="Times New Roman" w:hAnsi="Times New Roman"/>
          <w:color w:val="000000" w:themeColor="text1"/>
          <w:sz w:val="24"/>
        </w:rPr>
        <w:t xml:space="preserve"> </w:t>
      </w:r>
      <w:r w:rsidR="00EE6832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074FDD">
        <w:rPr>
          <w:rFonts w:ascii="Times New Roman" w:hAnsi="Times New Roman"/>
          <w:color w:val="000000" w:themeColor="text1"/>
          <w:sz w:val="24"/>
        </w:rPr>
        <w:t>6</w:t>
      </w:r>
      <w:r w:rsidR="00EE6832" w:rsidRPr="00A13C6D">
        <w:rPr>
          <w:rFonts w:ascii="Times New Roman" w:hAnsi="Times New Roman"/>
          <w:color w:val="000000" w:themeColor="text1"/>
          <w:sz w:val="24"/>
        </w:rPr>
        <w:t>-202</w:t>
      </w:r>
      <w:r w:rsidR="00EE6832">
        <w:rPr>
          <w:rFonts w:ascii="Times New Roman" w:hAnsi="Times New Roman"/>
          <w:color w:val="000000" w:themeColor="text1"/>
          <w:sz w:val="24"/>
        </w:rPr>
        <w:t>7</w:t>
      </w:r>
      <w:r w:rsidR="00EE6832" w:rsidRPr="00A13C6D">
        <w:rPr>
          <w:rFonts w:ascii="Times New Roman" w:hAnsi="Times New Roman"/>
          <w:color w:val="000000" w:themeColor="text1"/>
          <w:sz w:val="24"/>
        </w:rPr>
        <w:t xml:space="preserve"> гг.</w:t>
      </w:r>
    </w:p>
    <w:p w14:paraId="6C666D50" w14:textId="77777777" w:rsidR="007541B3" w:rsidRDefault="007541B3" w:rsidP="007541B3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307C8329" w14:textId="77777777" w:rsidR="00B056B9" w:rsidRDefault="00B056B9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«Байкитская</w:t>
      </w:r>
      <w:r w:rsidR="00F45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</w:t>
      </w:r>
      <w:r w:rsidR="00AE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«БНГРЭ»).</w:t>
      </w:r>
    </w:p>
    <w:p w14:paraId="33C0815B" w14:textId="77777777" w:rsidR="0004412F" w:rsidRDefault="003F7A7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25952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Объемы</w:t>
      </w:r>
      <w:r w:rsidR="00C27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14:paraId="7B2F4224" w14:textId="77777777" w:rsidR="00484C57" w:rsidRPr="000E43CD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_Hlk158317042"/>
      <w:bookmarkStart w:id="5" w:name="_Hlk81567613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 w:rsidR="00146256"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484C57" w:rsidRPr="0091289E" w14:paraId="46EA961D" w14:textId="77777777" w:rsidTr="00C03BBE">
        <w:tc>
          <w:tcPr>
            <w:tcW w:w="1018" w:type="dxa"/>
            <w:vAlign w:val="center"/>
          </w:tcPr>
          <w:p w14:paraId="5F096739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9D133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076B3CB1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3803F764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0B368DCD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484C57" w:rsidRPr="005D269A" w14:paraId="62F4F564" w14:textId="77777777" w:rsidTr="00C03BBE">
        <w:tc>
          <w:tcPr>
            <w:tcW w:w="1018" w:type="dxa"/>
            <w:vAlign w:val="center"/>
          </w:tcPr>
          <w:p w14:paraId="308DA98F" w14:textId="77777777" w:rsidR="00484C57" w:rsidRPr="0091289E" w:rsidRDefault="009B782A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Куст-1Х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E9051" w14:textId="77777777" w:rsidR="00484C57" w:rsidRPr="0091289E" w:rsidRDefault="00EE6832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1410</w:t>
            </w:r>
          </w:p>
        </w:tc>
        <w:tc>
          <w:tcPr>
            <w:tcW w:w="2126" w:type="dxa"/>
            <w:vMerge w:val="restart"/>
            <w:vAlign w:val="center"/>
          </w:tcPr>
          <w:p w14:paraId="54E34433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15.0</w:t>
            </w:r>
            <w:r w:rsidR="007554AB"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2DBC2B06" w14:textId="77777777" w:rsidR="00484C57" w:rsidRPr="0091289E" w:rsidRDefault="00EE6832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март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592" w:type="dxa"/>
            <w:vAlign w:val="center"/>
          </w:tcPr>
          <w:p w14:paraId="26CB5E7F" w14:textId="77777777" w:rsidR="00484C57" w:rsidRPr="005D269A" w:rsidRDefault="00EE6832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ноябрь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</w:tr>
      <w:tr w:rsidR="00484C57" w:rsidRPr="005D269A" w14:paraId="0D03C95C" w14:textId="77777777" w:rsidTr="00C03BBE">
        <w:tc>
          <w:tcPr>
            <w:tcW w:w="1018" w:type="dxa"/>
          </w:tcPr>
          <w:p w14:paraId="6A76F390" w14:textId="77777777" w:rsidR="00484C57" w:rsidRPr="006B199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CD47" w14:textId="77777777" w:rsidR="00484C57" w:rsidRPr="00D06EAA" w:rsidRDefault="00EE6832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1410</w:t>
            </w:r>
          </w:p>
        </w:tc>
        <w:tc>
          <w:tcPr>
            <w:tcW w:w="2126" w:type="dxa"/>
            <w:vMerge/>
            <w:vAlign w:val="center"/>
          </w:tcPr>
          <w:p w14:paraId="4C520132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0104C44B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2EEB1EA7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bookmarkEnd w:id="4"/>
    <w:p w14:paraId="6550817C" w14:textId="77777777" w:rsidR="001A33BF" w:rsidRPr="000E43CD" w:rsidRDefault="001A33BF" w:rsidP="001A33BF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1A33BF" w:rsidRPr="0091289E" w14:paraId="1D16E28B" w14:textId="77777777" w:rsidTr="00990485">
        <w:tc>
          <w:tcPr>
            <w:tcW w:w="1018" w:type="dxa"/>
            <w:vAlign w:val="center"/>
          </w:tcPr>
          <w:p w14:paraId="5C8456F0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81219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3CAB2BEA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0DC079E4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2C10D70D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1A33BF" w:rsidRPr="005D269A" w14:paraId="76965AF5" w14:textId="77777777" w:rsidTr="00990485">
        <w:tc>
          <w:tcPr>
            <w:tcW w:w="1018" w:type="dxa"/>
            <w:vAlign w:val="center"/>
          </w:tcPr>
          <w:p w14:paraId="11FDB9A7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7F643" w14:textId="77777777" w:rsidR="001A33BF" w:rsidRPr="0091289E" w:rsidRDefault="00EE6832" w:rsidP="00990485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2350</w:t>
            </w:r>
          </w:p>
        </w:tc>
        <w:tc>
          <w:tcPr>
            <w:tcW w:w="2126" w:type="dxa"/>
            <w:vMerge w:val="restart"/>
            <w:vAlign w:val="center"/>
          </w:tcPr>
          <w:p w14:paraId="0B3F43D5" w14:textId="77777777" w:rsidR="001A33BF" w:rsidRPr="0091289E" w:rsidRDefault="001A33BF" w:rsidP="00990485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15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.0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7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1519ED8A" w14:textId="77777777" w:rsidR="001A33BF" w:rsidRPr="0091289E" w:rsidRDefault="00953404" w:rsidP="00990485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август </w:t>
            </w:r>
            <w:r w:rsidR="001A33BF" w:rsidRPr="0091289E">
              <w:rPr>
                <w:rFonts w:ascii="Times New Roman" w:eastAsia="Times New Roman" w:hAnsi="Times New Roman"/>
                <w:color w:val="000000" w:themeColor="text1"/>
              </w:rPr>
              <w:t>202</w:t>
            </w:r>
            <w:r w:rsidR="00C951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592" w:type="dxa"/>
            <w:vAlign w:val="center"/>
          </w:tcPr>
          <w:p w14:paraId="1EBA9297" w14:textId="77777777" w:rsidR="001A33BF" w:rsidRPr="005D269A" w:rsidRDefault="00C95111" w:rsidP="00990485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Февраль</w:t>
            </w:r>
            <w:r w:rsidR="001A33BF"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</w:tr>
      <w:tr w:rsidR="001A33BF" w:rsidRPr="005D269A" w14:paraId="2E854D1E" w14:textId="77777777" w:rsidTr="00990485">
        <w:tc>
          <w:tcPr>
            <w:tcW w:w="1018" w:type="dxa"/>
          </w:tcPr>
          <w:p w14:paraId="012C5A60" w14:textId="77777777" w:rsidR="001A33BF" w:rsidRPr="006B1997" w:rsidRDefault="001A33BF" w:rsidP="001A33B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3C19C" w14:textId="77777777" w:rsidR="001A33BF" w:rsidRPr="00D06EAA" w:rsidRDefault="00EE6832" w:rsidP="001A33B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2126" w:type="dxa"/>
            <w:vMerge/>
            <w:vAlign w:val="center"/>
          </w:tcPr>
          <w:p w14:paraId="48774202" w14:textId="77777777" w:rsidR="001A33BF" w:rsidRPr="0091289E" w:rsidRDefault="001A33BF" w:rsidP="001A33BF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222C1EE2" w14:textId="77777777" w:rsidR="001A33BF" w:rsidRDefault="001A33BF" w:rsidP="001A33BF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11A97F4C" w14:textId="77777777" w:rsidR="001A33BF" w:rsidRDefault="001A33BF" w:rsidP="001A33BF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4AEC4ED1" w14:textId="77777777" w:rsidR="00C95111" w:rsidRPr="000E43CD" w:rsidRDefault="00C95111" w:rsidP="00C95111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_Hlk158317891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C95111" w:rsidRPr="0091289E" w14:paraId="55CAC5FA" w14:textId="77777777" w:rsidTr="00EF52DD">
        <w:tc>
          <w:tcPr>
            <w:tcW w:w="1018" w:type="dxa"/>
            <w:vAlign w:val="center"/>
          </w:tcPr>
          <w:p w14:paraId="66987660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22189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26CD4463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2BC5459D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4A0C52A1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C95111" w:rsidRPr="005D269A" w14:paraId="2C20AB80" w14:textId="77777777" w:rsidTr="00EF52DD">
        <w:tc>
          <w:tcPr>
            <w:tcW w:w="1018" w:type="dxa"/>
            <w:vAlign w:val="center"/>
          </w:tcPr>
          <w:p w14:paraId="5F19D957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Куст-3Х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D06B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2350</w:t>
            </w:r>
          </w:p>
        </w:tc>
        <w:tc>
          <w:tcPr>
            <w:tcW w:w="2126" w:type="dxa"/>
            <w:vMerge w:val="restart"/>
            <w:vAlign w:val="center"/>
          </w:tcPr>
          <w:p w14:paraId="764F95B3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15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12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662EE58B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январь </w:t>
            </w:r>
            <w:r w:rsidRPr="0091289E">
              <w:rPr>
                <w:rFonts w:ascii="Times New Roman" w:eastAsia="Times New Roman" w:hAnsi="Times New Roman"/>
                <w:color w:val="000000" w:themeColor="text1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2592" w:type="dxa"/>
            <w:vAlign w:val="center"/>
          </w:tcPr>
          <w:p w14:paraId="3028E688" w14:textId="77777777" w:rsidR="00C95111" w:rsidRPr="005D269A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Февраль</w:t>
            </w: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7</w:t>
            </w:r>
          </w:p>
        </w:tc>
      </w:tr>
      <w:tr w:rsidR="00C95111" w:rsidRPr="005D269A" w14:paraId="0116E215" w14:textId="77777777" w:rsidTr="00EF52DD">
        <w:tc>
          <w:tcPr>
            <w:tcW w:w="1018" w:type="dxa"/>
          </w:tcPr>
          <w:p w14:paraId="7C601AE6" w14:textId="77777777" w:rsidR="00C95111" w:rsidRPr="006B1997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4DBC0" w14:textId="77777777" w:rsidR="00C95111" w:rsidRPr="00D06EAA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2350</w:t>
            </w:r>
          </w:p>
        </w:tc>
        <w:tc>
          <w:tcPr>
            <w:tcW w:w="2126" w:type="dxa"/>
            <w:vMerge/>
            <w:vAlign w:val="center"/>
          </w:tcPr>
          <w:p w14:paraId="059F0156" w14:textId="77777777" w:rsidR="00C95111" w:rsidRPr="0091289E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4002F6A4" w14:textId="77777777" w:rsidR="00C95111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4CBCC679" w14:textId="77777777" w:rsidR="00C95111" w:rsidRDefault="00C95111" w:rsidP="00EF52D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65EBF61A" w14:textId="77777777" w:rsidR="00484C57" w:rsidRPr="00F62959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03">
        <w:rPr>
          <w:rFonts w:ascii="Times New Roman" w:hAnsi="Times New Roman" w:cs="Times New Roman"/>
          <w:sz w:val="24"/>
          <w:szCs w:val="24"/>
        </w:rPr>
        <w:t>Необходимая производительность по лоту №</w:t>
      </w:r>
      <w:r w:rsidR="00C95111">
        <w:rPr>
          <w:rFonts w:ascii="Times New Roman" w:hAnsi="Times New Roman" w:cs="Times New Roman"/>
          <w:sz w:val="24"/>
          <w:szCs w:val="24"/>
        </w:rPr>
        <w:t>№</w:t>
      </w:r>
      <w:r w:rsidRPr="007C2703">
        <w:rPr>
          <w:rFonts w:ascii="Times New Roman" w:hAnsi="Times New Roman" w:cs="Times New Roman"/>
          <w:sz w:val="24"/>
          <w:szCs w:val="24"/>
        </w:rPr>
        <w:t xml:space="preserve"> </w:t>
      </w:r>
      <w:r w:rsidR="00146256">
        <w:rPr>
          <w:rFonts w:ascii="Times New Roman" w:hAnsi="Times New Roman" w:cs="Times New Roman"/>
          <w:sz w:val="24"/>
          <w:szCs w:val="24"/>
        </w:rPr>
        <w:t>1</w:t>
      </w:r>
      <w:r w:rsidR="00C95111">
        <w:rPr>
          <w:rFonts w:ascii="Times New Roman" w:hAnsi="Times New Roman" w:cs="Times New Roman"/>
          <w:sz w:val="24"/>
          <w:szCs w:val="24"/>
        </w:rPr>
        <w:t xml:space="preserve">, </w:t>
      </w:r>
      <w:r w:rsidR="008C55A5">
        <w:rPr>
          <w:rFonts w:ascii="Times New Roman" w:hAnsi="Times New Roman" w:cs="Times New Roman"/>
          <w:sz w:val="24"/>
          <w:szCs w:val="24"/>
        </w:rPr>
        <w:t>2</w:t>
      </w:r>
      <w:r w:rsidR="00C95111">
        <w:rPr>
          <w:rFonts w:ascii="Times New Roman" w:hAnsi="Times New Roman" w:cs="Times New Roman"/>
          <w:sz w:val="24"/>
          <w:szCs w:val="24"/>
        </w:rPr>
        <w:t xml:space="preserve"> и 3</w:t>
      </w:r>
      <w:r w:rsidRPr="007C2703">
        <w:rPr>
          <w:rFonts w:ascii="Times New Roman" w:hAnsi="Times New Roman" w:cs="Times New Roman"/>
          <w:sz w:val="24"/>
          <w:szCs w:val="24"/>
        </w:rPr>
        <w:t xml:space="preserve">: не менее </w:t>
      </w:r>
      <w:r w:rsidR="00BA2196">
        <w:rPr>
          <w:rFonts w:ascii="Times New Roman" w:hAnsi="Times New Roman" w:cs="Times New Roman"/>
          <w:sz w:val="24"/>
          <w:szCs w:val="24"/>
        </w:rPr>
        <w:t>25</w:t>
      </w:r>
      <w:r w:rsidRPr="007C2703">
        <w:rPr>
          <w:rFonts w:ascii="Times New Roman" w:hAnsi="Times New Roman" w:cs="Times New Roman"/>
          <w:sz w:val="24"/>
          <w:szCs w:val="24"/>
        </w:rPr>
        <w:t xml:space="preserve"> м</w:t>
      </w:r>
      <w:r w:rsidRPr="007C27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C270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703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C2703">
        <w:rPr>
          <w:rFonts w:ascii="Times New Roman" w:hAnsi="Times New Roman" w:cs="Times New Roman"/>
          <w:sz w:val="24"/>
          <w:szCs w:val="24"/>
        </w:rPr>
        <w:t>.</w:t>
      </w:r>
    </w:p>
    <w:p w14:paraId="284D1F4F" w14:textId="77777777" w:rsidR="00F62959" w:rsidRPr="00F04AAB" w:rsidRDefault="00F62959" w:rsidP="00F2595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Ориентировочный радиус транспортировки </w:t>
      </w:r>
      <w:r w:rsidRPr="00C4327E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7D6C26" w:rsidRPr="00C4327E">
        <w:rPr>
          <w:rFonts w:ascii="Times New Roman" w:hAnsi="Times New Roman" w:cs="Times New Roman"/>
          <w:sz w:val="24"/>
          <w:szCs w:val="24"/>
        </w:rPr>
        <w:t xml:space="preserve">с места их образования к месту площадки по утилизации </w:t>
      </w:r>
      <w:r w:rsidR="00C95111">
        <w:rPr>
          <w:rFonts w:ascii="Times New Roman" w:hAnsi="Times New Roman" w:cs="Times New Roman"/>
          <w:sz w:val="24"/>
          <w:szCs w:val="24"/>
        </w:rPr>
        <w:t>35</w:t>
      </w:r>
      <w:r w:rsidR="007D6C26" w:rsidRPr="009B3D5B">
        <w:rPr>
          <w:rFonts w:ascii="Times New Roman" w:hAnsi="Times New Roman" w:cs="Times New Roman"/>
          <w:sz w:val="24"/>
          <w:szCs w:val="24"/>
        </w:rPr>
        <w:t> </w:t>
      </w:r>
      <w:r w:rsidRPr="009B3D5B">
        <w:rPr>
          <w:rFonts w:ascii="Times New Roman" w:hAnsi="Times New Roman" w:cs="Times New Roman"/>
          <w:sz w:val="24"/>
          <w:szCs w:val="24"/>
        </w:rPr>
        <w:t>км.</w:t>
      </w:r>
    </w:p>
    <w:p w14:paraId="31B6F32A" w14:textId="77777777" w:rsidR="00D941BD" w:rsidRPr="00565976" w:rsidRDefault="00D941BD" w:rsidP="004078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7" w:name="_Hlk117090237"/>
      <w:bookmarkEnd w:id="5"/>
      <w:bookmarkEnd w:id="6"/>
      <w:r w:rsidRPr="0056597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Исполнитель обязан в период выполнения Заказчиком работ по бурению обеспечить непрерывность и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круглосуточность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приемки отходов бурения на утилизацию путем нахождения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шламоперевозящего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транспортного средства (далее -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) непосредственно под шнеком БУ до момента его заполнения с дальнейшим вывозом к месту утилизации отхода бурения. Следующий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расположен Исполнителем под шнеком БУ сразу же (без перерыва) после заполнения кузова предыдущего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 его выезда из-под шнека. </w:t>
      </w:r>
    </w:p>
    <w:p w14:paraId="529B6773" w14:textId="77777777" w:rsidR="00D941BD" w:rsidRDefault="00D941BD" w:rsidP="00D941B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Отсутствие</w:t>
      </w:r>
      <w:r w:rsidR="007D6C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6C26" w:rsidRPr="00C4327E">
        <w:rPr>
          <w:rFonts w:ascii="Times New Roman" w:hAnsi="Times New Roman"/>
          <w:color w:val="000000" w:themeColor="text1"/>
          <w:sz w:val="24"/>
          <w:szCs w:val="24"/>
        </w:rPr>
        <w:t>своевременной</w:t>
      </w: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транспортировки отходов бурения с места их образования к месту утилизации по причине отсутствия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шламовозов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Исполнителя оформляется двусторонним актом (Приложение № 2). Исполнитель не вправе отказаться или уклониться от подписания акта.</w:t>
      </w:r>
    </w:p>
    <w:p w14:paraId="2EDC94C6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Начало и окончание работы, количество привлеченной Заказчиком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шламоперевозящей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техники для транспортировки отходов бурения, оформляется двусторонним актом (Приложение № 3). Исполнитель не вправе отказаться или уклониться от подписания акта.</w:t>
      </w:r>
    </w:p>
    <w:p w14:paraId="5F443C48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Ежемесячно, в срок до 5 числа месяца, следующего за отчетным, на основании актов Заказчик составляет реестр привлеченной за отчетный период техники для вывоза отходов бурения (Приложение № 4) и направляет на согласование (подпись) Исполнителю.</w:t>
      </w:r>
    </w:p>
    <w:p w14:paraId="57C97384" w14:textId="77777777" w:rsidR="0040784E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5976">
        <w:rPr>
          <w:rFonts w:ascii="Times New Roman" w:hAnsi="Times New Roman"/>
          <w:sz w:val="24"/>
          <w:szCs w:val="24"/>
        </w:rPr>
        <w:t>Объемы и наименования объектов могут уточняться</w:t>
      </w:r>
      <w:r w:rsidR="0040784E" w:rsidRPr="00565976">
        <w:rPr>
          <w:rFonts w:ascii="Times New Roman" w:hAnsi="Times New Roman"/>
          <w:sz w:val="24"/>
          <w:szCs w:val="24"/>
        </w:rPr>
        <w:t xml:space="preserve"> в рамках изменения производс</w:t>
      </w:r>
      <w:r w:rsidR="0040784E">
        <w:rPr>
          <w:rFonts w:ascii="Times New Roman" w:hAnsi="Times New Roman"/>
          <w:sz w:val="24"/>
          <w:szCs w:val="24"/>
        </w:rPr>
        <w:t>твенной программы.</w:t>
      </w:r>
    </w:p>
    <w:p w14:paraId="6661753A" w14:textId="77777777" w:rsidR="00783E31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Hlk158317309"/>
      <w:r>
        <w:rPr>
          <w:rFonts w:ascii="Times New Roman" w:hAnsi="Times New Roman"/>
          <w:sz w:val="24"/>
          <w:szCs w:val="24"/>
        </w:rPr>
        <w:t>Полученный в результате утилизации продукт является собственностью Исполнителя.</w:t>
      </w:r>
    </w:p>
    <w:bookmarkEnd w:id="8"/>
    <w:p w14:paraId="43DB2FF3" w14:textId="77777777" w:rsidR="009B782A" w:rsidRDefault="009B782A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7"/>
    <w:p w14:paraId="4ACB5D1C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8B0C21" w:rsidRPr="00376BC7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77777777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eastAsia="Times New Roman" w:hAnsi="Times New Roman"/>
          <w:sz w:val="24"/>
          <w:szCs w:val="24"/>
        </w:rPr>
        <w:t xml:space="preserve"> (в т.ч. при необходимости – обсервация в период возможных ограничений)</w:t>
      </w:r>
      <w:r w:rsidRPr="000B4509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>
        <w:rPr>
          <w:rFonts w:ascii="Times New Roman" w:eastAsia="Times New Roman" w:hAnsi="Times New Roman"/>
          <w:sz w:val="24"/>
          <w:szCs w:val="24"/>
        </w:rPr>
        <w:t>, затраты на подготовку площадки в соответствии с требованиями технологии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3030AF" w14:textId="77777777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в течение 60 календарных дней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14:paraId="65C86F7B" w14:textId="77777777" w:rsidR="00B2481B" w:rsidRPr="000B4509" w:rsidRDefault="00B2481B" w:rsidP="00B2481B">
      <w:pPr>
        <w:spacing w:before="120" w:after="120"/>
        <w:rPr>
          <w:rFonts w:ascii="Times New Roman" w:eastAsia="Times New Roman" w:hAnsi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100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77777777" w:rsidR="00B2481B" w:rsidRPr="006D1120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0B4509">
        <w:rPr>
          <w:rFonts w:ascii="Times New Roman" w:eastAsia="Times New Roman" w:hAnsi="Times New Roman"/>
          <w:sz w:val="24"/>
          <w:szCs w:val="24"/>
        </w:rPr>
        <w:t>0% от общего объема выполнения Работ.</w:t>
      </w:r>
    </w:p>
    <w:p w14:paraId="15077616" w14:textId="77777777" w:rsidR="00B2481B" w:rsidRPr="000027E5" w:rsidRDefault="00B2481B" w:rsidP="006E0895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 срока выполнения плана-графика </w:t>
      </w:r>
      <w:r w:rsidR="00FB20E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 не своевременная утилизация буровых отходов, влечет за собой ответственность в виде штрафа 5000 рублей за каждый метр кубический не утилизированных буровых отходов</w:t>
      </w:r>
    </w:p>
    <w:p w14:paraId="5A49F106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61B05483" w14:textId="77777777" w:rsidR="00B2481B" w:rsidRDefault="00AA06C3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в рабочем порядке устраняет все недостатки, выявленные Заказчиком.</w:t>
      </w:r>
    </w:p>
    <w:p w14:paraId="44A6FD8E" w14:textId="77777777" w:rsidR="00C95111" w:rsidRDefault="00C95111" w:rsidP="00B2481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55A13DD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1.8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14:paraId="2C7B115B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77777777" w:rsidR="00D067A3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0DCE9778" w14:textId="77777777" w:rsidR="00CE709B" w:rsidRDefault="00CE709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3E54552C" w14:textId="5B921222" w:rsidR="00FD2855" w:rsidRPr="009E33EA" w:rsidRDefault="008F2899" w:rsidP="000F5FFE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E33E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77777777"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  <w:r w:rsidR="00A61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разногласий/Подписанное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F2899" w14:paraId="4F41841A" w14:textId="77777777" w:rsidTr="000F5FFE">
        <w:tc>
          <w:tcPr>
            <w:tcW w:w="674" w:type="dxa"/>
            <w:vAlign w:val="center"/>
          </w:tcPr>
          <w:p w14:paraId="3B0ABF29" w14:textId="77777777" w:rsidR="008F2899" w:rsidRDefault="008F2899" w:rsidP="008F2899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9" w:type="dxa"/>
          </w:tcPr>
          <w:p w14:paraId="26545E10" w14:textId="77777777" w:rsidR="00847BC2" w:rsidRPr="00B411BA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постоянной в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идеофиксаци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процесса утилизации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выемка отходов из шламонакопителя,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загрузк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отходов в установку по переработке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70D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фиксированием в журнале учета загрузки ковшей экскаватора времени загрузки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бурения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в установку по переработке – как подтверждение объемов), передача данных и их хранение в течении 12 месяцев после выполненных работ.</w:t>
            </w:r>
          </w:p>
        </w:tc>
        <w:tc>
          <w:tcPr>
            <w:tcW w:w="2977" w:type="dxa"/>
            <w:vAlign w:val="center"/>
          </w:tcPr>
          <w:p w14:paraId="0DA9614F" w14:textId="77777777" w:rsidR="008F2899" w:rsidRPr="00B411BA" w:rsidRDefault="008F2899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3606D0D7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E86AA56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47BC2" w14:paraId="1A8A07D5" w14:textId="77777777" w:rsidTr="000F5FFE">
        <w:tc>
          <w:tcPr>
            <w:tcW w:w="674" w:type="dxa"/>
            <w:vAlign w:val="center"/>
          </w:tcPr>
          <w:p w14:paraId="1F75B1A3" w14:textId="77777777" w:rsidR="00847BC2" w:rsidRDefault="00847BC2" w:rsidP="00847BC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999" w:type="dxa"/>
          </w:tcPr>
          <w:p w14:paraId="012C8C0A" w14:textId="77777777" w:rsidR="00847BC2" w:rsidRDefault="00847BC2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BC2">
              <w:rPr>
                <w:rFonts w:ascii="Times New Roman" w:hAnsi="Times New Roman"/>
                <w:sz w:val="20"/>
                <w:szCs w:val="20"/>
              </w:rPr>
              <w:t>Организация спутникового интернета для оперативной передачи записей видеофиксации загрузки ковшей с объекта в аппарат управления для своевременного закрытия объемов утилизации.</w:t>
            </w:r>
          </w:p>
        </w:tc>
        <w:tc>
          <w:tcPr>
            <w:tcW w:w="2977" w:type="dxa"/>
            <w:vAlign w:val="center"/>
          </w:tcPr>
          <w:p w14:paraId="25051C99" w14:textId="77777777" w:rsidR="00847BC2" w:rsidRPr="00B411BA" w:rsidRDefault="00847BC2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5026DF91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E5B95AD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C5B4521" w14:textId="308B56B0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71B0E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28A9C135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8B5698">
              <w:rPr>
                <w:rFonts w:ascii="Times New Roman" w:hAnsi="Times New Roman" w:cs="Times New Roman"/>
                <w:sz w:val="20"/>
                <w:szCs w:val="20"/>
              </w:rPr>
              <w:t>участника закупки</w:t>
            </w:r>
            <w:r w:rsidR="009B4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79997F8C" w14:textId="77777777" w:rsidR="00DA361D" w:rsidRPr="00185A9E" w:rsidRDefault="00DA361D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положительного заключения 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870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539C792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455DF23B" w14:textId="77777777" w:rsidR="00075F56" w:rsidRPr="009531B9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77777777" w:rsidR="00B50D0E" w:rsidRPr="00075F56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3969" w:type="dxa"/>
          </w:tcPr>
          <w:p w14:paraId="5C40FE22" w14:textId="774BE935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</w:t>
            </w:r>
            <w:r w:rsidRPr="00EB4557">
              <w:rPr>
                <w:rFonts w:ascii="Times New Roman" w:hAnsi="Times New Roman" w:cs="Times New Roman"/>
                <w:sz w:val="20"/>
                <w:szCs w:val="20"/>
              </w:rPr>
              <w:t>отходы бурения, связанного с добычей нефти, в смеси, содержащие нефтепродукты в количестве 15% и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19D9DB5B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 - IV классов опасности (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291 180 11 39 3 – отходы бурения, связанного с добычей нефти, природного (попутного) газа и газового конденсата, в смеси, </w:t>
            </w:r>
            <w:r w:rsidRPr="006D76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содержащие нефтепродукты в количестве 15% и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77777777" w:rsidR="00B50D0E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3.5.2</w:t>
            </w:r>
          </w:p>
        </w:tc>
        <w:tc>
          <w:tcPr>
            <w:tcW w:w="3969" w:type="dxa"/>
          </w:tcPr>
          <w:p w14:paraId="7FF76542" w14:textId="77777777" w:rsidR="00B50D0E" w:rsidRPr="00185A9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внесением 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лицензируемого вида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0F49DCC" w14:textId="77777777" w:rsidR="00B50D0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4F72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B50D0E" w:rsidRPr="00185A9E" w:rsidRDefault="00B50D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B50D0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50EFD150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 w:rsidR="00FB20E9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 w:rsidR="009E29B0">
              <w:rPr>
                <w:rFonts w:ascii="Times New Roman" w:hAnsi="Times New Roman" w:cs="Times New Roman"/>
                <w:sz w:val="20"/>
                <w:szCs w:val="20"/>
              </w:rPr>
              <w:t>дмету закупки, не менее чем по 5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8B5698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 w:rsidR="009151E1"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 w:rsidR="00F0564A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77777777" w:rsidR="00075F56" w:rsidRPr="00075F56" w:rsidRDefault="000627DF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35D7B71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B78536E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AA8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77777777" w:rsidR="006A4AA8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D7D592E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4CD32C5A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46256" w:rsidRPr="00146256">
              <w:rPr>
                <w:rFonts w:ascii="Times New Roman" w:hAnsi="Times New Roman" w:cs="Times New Roman"/>
                <w:sz w:val="20"/>
                <w:szCs w:val="20"/>
              </w:rPr>
              <w:t>ормативов допустимых выбросов загрязняющих веществ в атмосферный воздух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594F3C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2835" w:type="dxa"/>
          </w:tcPr>
          <w:p w14:paraId="6941A921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418" w:type="dxa"/>
            <w:vAlign w:val="center"/>
          </w:tcPr>
          <w:p w14:paraId="17024C41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77777777" w:rsidR="00075F56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293760D4" w14:textId="77777777" w:rsidR="000374DC" w:rsidRPr="00AB17E4" w:rsidRDefault="009E33EA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 w:rsidR="00A56811">
              <w:rPr>
                <w:rFonts w:ascii="Times New Roman" w:hAnsi="Times New Roman"/>
                <w:sz w:val="20"/>
                <w:szCs w:val="20"/>
              </w:rPr>
              <w:t xml:space="preserve">в соответствии </w:t>
            </w:r>
            <w:r w:rsidR="00AB17E4">
              <w:rPr>
                <w:rFonts w:ascii="Times New Roman" w:hAnsi="Times New Roman"/>
                <w:sz w:val="20"/>
                <w:szCs w:val="20"/>
              </w:rPr>
              <w:t>с разделом 5</w:t>
            </w:r>
            <w:r w:rsidR="00EB4059">
              <w:rPr>
                <w:rFonts w:ascii="Times New Roman" w:hAnsi="Times New Roman"/>
                <w:sz w:val="20"/>
                <w:szCs w:val="20"/>
              </w:rPr>
              <w:t xml:space="preserve"> и 6</w:t>
            </w:r>
            <w:r w:rsidR="00AB17E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</w:t>
            </w:r>
            <w:r w:rsidR="00EB40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C8A8107" w14:textId="77777777" w:rsidR="0089330A" w:rsidRPr="00FE0CF1" w:rsidRDefault="00D3112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указанием: марки, гос. номеров, года выпуска, производительности (паспортной и фактической)/вместимости, места нахождения</w:t>
            </w:r>
            <w:r w:rsidR="00DA361D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собственника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на фирменном бланке с печатью и подписью уполномоченного лица.</w:t>
            </w:r>
          </w:p>
          <w:p w14:paraId="7884C57A" w14:textId="77777777" w:rsidR="00C80388" w:rsidRPr="00FE0CF1" w:rsidRDefault="00C80388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</w:t>
            </w:r>
            <w:r w:rsidR="00D01BB5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– на каждую ед. техники. Копия паспорта – на каждую установку утилизации отходов.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Копии </w:t>
            </w:r>
            <w:r w:rsidR="00EB40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 w:rsidR="00AB1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E4"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898D4A8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E3E9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Если планируется привлечение техники</w:t>
            </w:r>
            <w:r w:rsidR="00EA4974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других организаций - </w:t>
            </w:r>
          </w:p>
          <w:p w14:paraId="678E21EE" w14:textId="77777777" w:rsidR="002B1061" w:rsidRPr="00FE0CF1" w:rsidRDefault="00EA4974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52B9A" w:rsidRPr="00FE0CF1">
              <w:rPr>
                <w:rFonts w:ascii="Times New Roman" w:hAnsi="Times New Roman" w:cs="Times New Roman"/>
                <w:sz w:val="20"/>
                <w:szCs w:val="20"/>
              </w:rPr>
              <w:t>опии договоров аренды/лизинга техники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либо гарантийное </w:t>
            </w:r>
            <w:r w:rsidR="002B1061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от арендодателя о готовности предоставления технику в аренду в случае признания организации победителем тендера</w:t>
            </w:r>
            <w:r w:rsidR="002B1061" w:rsidRPr="00FE0C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2B8A1D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77777777" w:rsidR="00FE0CF1" w:rsidRPr="00075F56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C8F7DB" w14:textId="77777777" w:rsidR="00FE0CF1" w:rsidRPr="00B411BA" w:rsidRDefault="00FE0CF1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 w:rsidR="00480C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65BEE9C0" w14:textId="77777777" w:rsidTr="00CE709B">
        <w:tc>
          <w:tcPr>
            <w:tcW w:w="704" w:type="dxa"/>
            <w:vAlign w:val="center"/>
          </w:tcPr>
          <w:p w14:paraId="27775B6B" w14:textId="77777777" w:rsidR="00FE0CF1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3.11</w:t>
            </w:r>
          </w:p>
        </w:tc>
        <w:tc>
          <w:tcPr>
            <w:tcW w:w="3969" w:type="dxa"/>
          </w:tcPr>
          <w:p w14:paraId="28FACF6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-БСМТС (бортовая система мониторинга транспортных средств),</w:t>
            </w:r>
            <w:r w:rsidR="00AE5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>которая должна обеспечивать регистрацию следующих характеристик движения:</w:t>
            </w:r>
          </w:p>
          <w:p w14:paraId="0FEFAF5A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отображение движения ТС на карте по маршруту движения;</w:t>
            </w:r>
          </w:p>
          <w:p w14:paraId="3A46588C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FE0CF1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-Также, транспортные средства должны быть укомплектованы тахографами, категории и виды транспортных средств </w:t>
            </w:r>
            <w:r w:rsidR="00AE5280" w:rsidRPr="00F56D98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 xml:space="preserve"> Приказом Минтранса России от 28 октября 2020 г. № 440.</w:t>
            </w:r>
          </w:p>
          <w:p w14:paraId="23654BDB" w14:textId="77777777" w:rsidR="00480C50" w:rsidRDefault="00480C50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-Кузов транспортных средств для транспортировки отходов бурения должен быть тарирован</w:t>
            </w:r>
          </w:p>
          <w:p w14:paraId="001BC550" w14:textId="77777777" w:rsidR="00CB4837" w:rsidRPr="00CB4837" w:rsidRDefault="00CB4837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-Ковш экскаватора должен быть тарирован</w:t>
            </w:r>
          </w:p>
        </w:tc>
        <w:tc>
          <w:tcPr>
            <w:tcW w:w="2835" w:type="dxa"/>
            <w:vAlign w:val="center"/>
          </w:tcPr>
          <w:p w14:paraId="446D3CBE" w14:textId="77777777" w:rsidR="00FE0CF1" w:rsidRPr="00B411BA" w:rsidRDefault="00FE0CF1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</w:t>
            </w:r>
            <w:r w:rsidR="00AE5280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год выпуска, гос. рег. знак, право владения, наименование собственника, местонахождение). </w:t>
            </w:r>
          </w:p>
          <w:p w14:paraId="2DC02516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B6F433B" w14:textId="77777777" w:rsidTr="00CE709B">
        <w:trPr>
          <w:cantSplit/>
        </w:trPr>
        <w:tc>
          <w:tcPr>
            <w:tcW w:w="704" w:type="dxa"/>
            <w:vAlign w:val="center"/>
          </w:tcPr>
          <w:p w14:paraId="681A66A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3.12</w:t>
            </w:r>
          </w:p>
        </w:tc>
        <w:tc>
          <w:tcPr>
            <w:tcW w:w="3969" w:type="dxa"/>
          </w:tcPr>
          <w:p w14:paraId="57E20BAF" w14:textId="77777777" w:rsidR="00480C50" w:rsidRPr="004D6CBF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>Требование по обеспечению объектов утилизации дизельным топливом для поддержания работоспособности оборудования по утил</w:t>
            </w:r>
            <w:r w:rsidR="00CC6B01" w:rsidRPr="004D6CBF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 xml:space="preserve">зации отходов бурения. </w:t>
            </w:r>
          </w:p>
        </w:tc>
        <w:tc>
          <w:tcPr>
            <w:tcW w:w="2835" w:type="dxa"/>
          </w:tcPr>
          <w:p w14:paraId="15E716B0" w14:textId="77777777" w:rsidR="00480C50" w:rsidRPr="004D6CBF" w:rsidRDefault="00480C50" w:rsidP="000F5FFE">
            <w:pPr>
              <w:spacing w:after="120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поставщиком дизельного топлива на Куюмбинском и/или Терско-Камовском лицензионном участке</w:t>
            </w:r>
          </w:p>
        </w:tc>
        <w:tc>
          <w:tcPr>
            <w:tcW w:w="1418" w:type="dxa"/>
            <w:vAlign w:val="center"/>
          </w:tcPr>
          <w:p w14:paraId="5D5E16C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9DD7DD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7777777" w:rsidR="00480C50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</w:t>
            </w:r>
          </w:p>
        </w:tc>
        <w:tc>
          <w:tcPr>
            <w:tcW w:w="3969" w:type="dxa"/>
          </w:tcPr>
          <w:p w14:paraId="62A19EAC" w14:textId="77777777" w:rsidR="00480C50" w:rsidRPr="005A7803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14:paraId="33EB090D" w14:textId="77777777" w:rsidR="00480C50" w:rsidRPr="00854A83" w:rsidRDefault="00480C50" w:rsidP="000F5FFE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480C50" w:rsidRPr="00854A83" w:rsidRDefault="00480C50" w:rsidP="000F5FFE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0C50" w14:paraId="12365456" w14:textId="77777777" w:rsidTr="00CE709B">
        <w:tc>
          <w:tcPr>
            <w:tcW w:w="704" w:type="dxa"/>
            <w:vAlign w:val="center"/>
          </w:tcPr>
          <w:p w14:paraId="1B8312E6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14:paraId="0E78C046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974F22E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046032B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фирменном бланке предприятия с печатью и подписью уполномоченного 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80C50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14:paraId="553E4CB0" w14:textId="77777777" w:rsidR="00480C50" w:rsidRPr="008527E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14:paraId="3C43EAA6" w14:textId="77777777" w:rsidR="00480C50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F8B7B6" w14:textId="77777777" w:rsidR="0068278A" w:rsidRDefault="009B5BE7" w:rsidP="0068278A">
      <w:pPr>
        <w:pStyle w:val="ConsPlusNormal"/>
        <w:widowControl/>
        <w:spacing w:after="120"/>
        <w:ind w:firstLine="0"/>
        <w:contextualSpacing/>
        <w:jc w:val="both"/>
      </w:pPr>
      <w:r>
        <w:t>Приложени</w:t>
      </w:r>
      <w:r w:rsidR="005B6A9C">
        <w:t>е</w:t>
      </w:r>
      <w:r>
        <w:t>:</w:t>
      </w:r>
      <w:r w:rsidR="00041FE7">
        <w:t xml:space="preserve"> № </w:t>
      </w:r>
      <w:r w:rsidR="005B6A9C">
        <w:t>1.</w:t>
      </w:r>
      <w:r w:rsidR="00565976">
        <w:t xml:space="preserve"> </w:t>
      </w:r>
      <w:r w:rsidR="005B6A9C">
        <w:t>Техническое задание</w:t>
      </w:r>
      <w:r w:rsidR="0068278A">
        <w:t>;</w:t>
      </w:r>
    </w:p>
    <w:p w14:paraId="4DACAC44" w14:textId="77777777"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74597CCC" w14:textId="77777777"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2815A4FB" w14:textId="77777777" w:rsidR="009B4E50" w:rsidRPr="00325AB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</w:rPr>
        <w:t xml:space="preserve">Начальник </w:t>
      </w:r>
      <w:r w:rsidR="007D0431">
        <w:rPr>
          <w:rFonts w:ascii="Times New Roman" w:eastAsia="Times New Roman" w:hAnsi="Times New Roman" w:cs="Times New Roman"/>
          <w:bCs/>
        </w:rPr>
        <w:t>группы</w:t>
      </w:r>
      <w:r w:rsidR="00041FE7">
        <w:rPr>
          <w:rFonts w:ascii="Times New Roman" w:eastAsia="Times New Roman" w:hAnsi="Times New Roman" w:cs="Times New Roman"/>
          <w:bCs/>
        </w:rPr>
        <w:t xml:space="preserve"> по</w:t>
      </w:r>
      <w:r w:rsidR="007D0431">
        <w:rPr>
          <w:rFonts w:ascii="Times New Roman" w:eastAsia="Times New Roman" w:hAnsi="Times New Roman" w:cs="Times New Roman"/>
          <w:bCs/>
        </w:rPr>
        <w:t xml:space="preserve"> </w:t>
      </w:r>
      <w:r w:rsidR="00A671B7">
        <w:rPr>
          <w:rFonts w:ascii="Times New Roman" w:eastAsia="Times New Roman" w:hAnsi="Times New Roman" w:cs="Times New Roman"/>
          <w:bCs/>
        </w:rPr>
        <w:t>ПЭК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</w:t>
      </w:r>
      <w:r w:rsidR="00937AF5">
        <w:rPr>
          <w:rFonts w:ascii="Times New Roman" w:eastAsia="Times New Roman" w:hAnsi="Times New Roman" w:cs="Times New Roman"/>
          <w:bCs/>
        </w:rPr>
        <w:t>М</w:t>
      </w:r>
      <w:r w:rsidR="00A671B7">
        <w:rPr>
          <w:rFonts w:ascii="Times New Roman" w:eastAsia="Times New Roman" w:hAnsi="Times New Roman" w:cs="Times New Roman"/>
          <w:bCs/>
        </w:rPr>
        <w:t>.</w:t>
      </w:r>
      <w:r w:rsidR="00937AF5">
        <w:rPr>
          <w:rFonts w:ascii="Times New Roman" w:eastAsia="Times New Roman" w:hAnsi="Times New Roman" w:cs="Times New Roman"/>
          <w:bCs/>
        </w:rPr>
        <w:t>И</w:t>
      </w:r>
      <w:r w:rsidR="00A671B7">
        <w:rPr>
          <w:rFonts w:ascii="Times New Roman" w:eastAsia="Times New Roman" w:hAnsi="Times New Roman" w:cs="Times New Roman"/>
          <w:bCs/>
        </w:rPr>
        <w:t xml:space="preserve">. </w:t>
      </w:r>
      <w:r w:rsidR="00937AF5">
        <w:rPr>
          <w:rFonts w:ascii="Times New Roman" w:eastAsia="Times New Roman" w:hAnsi="Times New Roman" w:cs="Times New Roman"/>
          <w:bCs/>
        </w:rPr>
        <w:t>Возмилов</w:t>
      </w:r>
      <w:r>
        <w:rPr>
          <w:rFonts w:ascii="Times New Roman" w:eastAsia="Times New Roman" w:hAnsi="Times New Roman" w:cs="Times New Roman"/>
          <w:bCs/>
        </w:rPr>
        <w:t xml:space="preserve">              </w:t>
      </w:r>
      <w:r w:rsidR="009B4E50">
        <w:rPr>
          <w:rFonts w:ascii="Times New Roman" w:eastAsia="Times New Roman" w:hAnsi="Times New Roman" w:cs="Times New Roman"/>
          <w:bCs/>
        </w:rPr>
        <w:tab/>
      </w:r>
      <w:r w:rsidR="006E0895">
        <w:rPr>
          <w:rFonts w:ascii="Times New Roman" w:eastAsia="Times New Roman" w:hAnsi="Times New Roman" w:cs="Times New Roman"/>
          <w:bCs/>
        </w:rPr>
        <w:t xml:space="preserve">        </w:t>
      </w:r>
      <w:r w:rsidR="009B4E50" w:rsidRPr="00325AB1">
        <w:rPr>
          <w:rFonts w:ascii="Times New Roman" w:eastAsia="Times New Roman" w:hAnsi="Times New Roman" w:cs="Times New Roman"/>
          <w:bCs/>
        </w:rPr>
        <w:t>«</w:t>
      </w:r>
      <w:r w:rsidR="00041FE7">
        <w:rPr>
          <w:rFonts w:ascii="Times New Roman" w:eastAsia="Times New Roman" w:hAnsi="Times New Roman" w:cs="Times New Roman"/>
          <w:bCs/>
        </w:rPr>
        <w:t>__</w:t>
      </w:r>
      <w:r w:rsidR="009B4E50" w:rsidRPr="00325AB1">
        <w:rPr>
          <w:rFonts w:ascii="Times New Roman" w:eastAsia="Times New Roman" w:hAnsi="Times New Roman" w:cs="Times New Roman"/>
          <w:bCs/>
        </w:rPr>
        <w:t>»</w:t>
      </w:r>
      <w:r w:rsidR="005F5DF1">
        <w:rPr>
          <w:rFonts w:ascii="Times New Roman" w:eastAsia="Times New Roman" w:hAnsi="Times New Roman" w:cs="Times New Roman"/>
          <w:bCs/>
        </w:rPr>
        <w:t xml:space="preserve"> </w:t>
      </w:r>
      <w:r w:rsidR="00937AF5">
        <w:rPr>
          <w:rFonts w:ascii="Times New Roman" w:eastAsia="Times New Roman" w:hAnsi="Times New Roman" w:cs="Times New Roman"/>
          <w:bCs/>
        </w:rPr>
        <w:t>ноября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9B4E50">
        <w:rPr>
          <w:rFonts w:ascii="Times New Roman" w:eastAsia="Times New Roman" w:hAnsi="Times New Roman" w:cs="Times New Roman"/>
          <w:bCs/>
        </w:rPr>
        <w:t>202</w:t>
      </w:r>
      <w:r w:rsidR="00A671B7">
        <w:rPr>
          <w:rFonts w:ascii="Times New Roman" w:eastAsia="Times New Roman" w:hAnsi="Times New Roman" w:cs="Times New Roman"/>
          <w:bCs/>
        </w:rPr>
        <w:t>4</w:t>
      </w:r>
      <w:r w:rsidR="0040784E">
        <w:rPr>
          <w:rFonts w:ascii="Times New Roman" w:eastAsia="Times New Roman" w:hAnsi="Times New Roman" w:cs="Times New Roman"/>
          <w:bCs/>
        </w:rPr>
        <w:t xml:space="preserve"> </w:t>
      </w:r>
      <w:r w:rsidR="009B4E50" w:rsidRPr="00325AB1">
        <w:rPr>
          <w:rFonts w:ascii="Times New Roman" w:eastAsia="Times New Roman" w:hAnsi="Times New Roman" w:cs="Times New Roman"/>
          <w:bCs/>
        </w:rPr>
        <w:t>г</w:t>
      </w:r>
      <w:r w:rsidR="00A671B7">
        <w:rPr>
          <w:rFonts w:ascii="Times New Roman" w:eastAsia="Times New Roman" w:hAnsi="Times New Roman" w:cs="Times New Roman"/>
          <w:bCs/>
        </w:rPr>
        <w:t>.</w:t>
      </w:r>
    </w:p>
    <w:sectPr w:rsidR="009B4E50" w:rsidRPr="00325AB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F87BD" w14:textId="77777777" w:rsidR="00E35DEE" w:rsidRDefault="00E35DEE" w:rsidP="00BF0D2B">
      <w:pPr>
        <w:spacing w:after="0" w:line="240" w:lineRule="auto"/>
      </w:pPr>
      <w:r>
        <w:separator/>
      </w:r>
    </w:p>
  </w:endnote>
  <w:endnote w:type="continuationSeparator" w:id="0">
    <w:p w14:paraId="6003F846" w14:textId="77777777" w:rsidR="00E35DEE" w:rsidRDefault="00E35DEE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0939" w14:textId="77777777" w:rsidR="00E35DEE" w:rsidRDefault="00E35DEE" w:rsidP="00BF0D2B">
      <w:pPr>
        <w:spacing w:after="0" w:line="240" w:lineRule="auto"/>
      </w:pPr>
      <w:r>
        <w:separator/>
      </w:r>
    </w:p>
  </w:footnote>
  <w:footnote w:type="continuationSeparator" w:id="0">
    <w:p w14:paraId="63BFB535" w14:textId="77777777" w:rsidR="00E35DEE" w:rsidRDefault="00E35DEE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480C50" w:rsidRDefault="00480C50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34E69"/>
    <w:rsid w:val="00036523"/>
    <w:rsid w:val="000374DC"/>
    <w:rsid w:val="000409ED"/>
    <w:rsid w:val="00040D8E"/>
    <w:rsid w:val="00041FE7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5029B"/>
    <w:rsid w:val="0025052C"/>
    <w:rsid w:val="00265991"/>
    <w:rsid w:val="00266555"/>
    <w:rsid w:val="00266DE1"/>
    <w:rsid w:val="002719A7"/>
    <w:rsid w:val="002760F5"/>
    <w:rsid w:val="00286514"/>
    <w:rsid w:val="00296828"/>
    <w:rsid w:val="002A4A40"/>
    <w:rsid w:val="002A73E5"/>
    <w:rsid w:val="002B1061"/>
    <w:rsid w:val="002C0DEF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7249C"/>
    <w:rsid w:val="003768C5"/>
    <w:rsid w:val="00376BC7"/>
    <w:rsid w:val="00381EAB"/>
    <w:rsid w:val="003916D8"/>
    <w:rsid w:val="0039234C"/>
    <w:rsid w:val="003A3A04"/>
    <w:rsid w:val="003A4CAE"/>
    <w:rsid w:val="003A53D9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100B"/>
    <w:rsid w:val="00454AF2"/>
    <w:rsid w:val="004575E0"/>
    <w:rsid w:val="00480C50"/>
    <w:rsid w:val="00484C57"/>
    <w:rsid w:val="00493A09"/>
    <w:rsid w:val="004A38DE"/>
    <w:rsid w:val="004B2BE9"/>
    <w:rsid w:val="004B567D"/>
    <w:rsid w:val="004C3774"/>
    <w:rsid w:val="004C48F5"/>
    <w:rsid w:val="004C6AB6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2036C"/>
    <w:rsid w:val="0053025A"/>
    <w:rsid w:val="00544E53"/>
    <w:rsid w:val="00553E2D"/>
    <w:rsid w:val="00555E02"/>
    <w:rsid w:val="00556E45"/>
    <w:rsid w:val="0055746B"/>
    <w:rsid w:val="00560D85"/>
    <w:rsid w:val="00560FCF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752A"/>
    <w:rsid w:val="00691CF7"/>
    <w:rsid w:val="006A4AA8"/>
    <w:rsid w:val="006B1997"/>
    <w:rsid w:val="006B76C7"/>
    <w:rsid w:val="006D200B"/>
    <w:rsid w:val="006D76BA"/>
    <w:rsid w:val="006E0895"/>
    <w:rsid w:val="007045E8"/>
    <w:rsid w:val="0070748B"/>
    <w:rsid w:val="00710B89"/>
    <w:rsid w:val="00724927"/>
    <w:rsid w:val="00725D73"/>
    <w:rsid w:val="00741934"/>
    <w:rsid w:val="00746C88"/>
    <w:rsid w:val="00752D44"/>
    <w:rsid w:val="007541B3"/>
    <w:rsid w:val="007554AB"/>
    <w:rsid w:val="00755BD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11400"/>
    <w:rsid w:val="00826E9E"/>
    <w:rsid w:val="008306D4"/>
    <w:rsid w:val="00830993"/>
    <w:rsid w:val="00833169"/>
    <w:rsid w:val="00847BC2"/>
    <w:rsid w:val="00854C65"/>
    <w:rsid w:val="00856F2B"/>
    <w:rsid w:val="00870D5C"/>
    <w:rsid w:val="0087310F"/>
    <w:rsid w:val="00873D2A"/>
    <w:rsid w:val="00874B2A"/>
    <w:rsid w:val="0087664C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4665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F48"/>
    <w:rsid w:val="00952B9A"/>
    <w:rsid w:val="009531B9"/>
    <w:rsid w:val="00953404"/>
    <w:rsid w:val="0096020E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51F5"/>
    <w:rsid w:val="00A671B7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50394"/>
    <w:rsid w:val="00B50CF3"/>
    <w:rsid w:val="00B50D0E"/>
    <w:rsid w:val="00B61ECC"/>
    <w:rsid w:val="00B62314"/>
    <w:rsid w:val="00B64CEB"/>
    <w:rsid w:val="00B7266B"/>
    <w:rsid w:val="00B738A7"/>
    <w:rsid w:val="00B778CF"/>
    <w:rsid w:val="00B84EC3"/>
    <w:rsid w:val="00B90F2A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41ED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60A47"/>
    <w:rsid w:val="00D6481C"/>
    <w:rsid w:val="00D64BF8"/>
    <w:rsid w:val="00D65939"/>
    <w:rsid w:val="00D6727C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5A5A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7362"/>
    <w:rsid w:val="00F451B4"/>
    <w:rsid w:val="00F56D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A6507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BA8C-9F30-4DC1-B347-C754A7DE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8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54</cp:revision>
  <cp:lastPrinted>2024-12-09T11:20:00Z</cp:lastPrinted>
  <dcterms:created xsi:type="dcterms:W3CDTF">2022-12-29T09:07:00Z</dcterms:created>
  <dcterms:modified xsi:type="dcterms:W3CDTF">2024-12-10T04:48:00Z</dcterms:modified>
</cp:coreProperties>
</file>