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5673" w14:textId="77777777"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14:paraId="1B31453C" w14:textId="77777777"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14:paraId="4C39BEE7" w14:textId="77777777"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14:paraId="5E5D6EEB" w14:textId="77777777" w:rsidR="00BF3A25" w:rsidRPr="00A318C0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6061E4" w:rsidRPr="006061E4">
        <w:rPr>
          <w:rFonts w:ascii="Times New Roman" w:eastAsia="Times New Roman" w:hAnsi="Times New Roman" w:cs="Times New Roman"/>
          <w:b/>
          <w:bCs/>
        </w:rPr>
        <w:t>Оказание комплекса услуг по техническому и технологическому сопровождению долотного сервиса и сервиса винтовых забойных двигателей (ВЗД) на скважине № 101 Восточно-Сузунского-5 лицензионного участка в 2025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14:paraId="417526C1" w14:textId="77777777" w:rsidR="00BF3A25" w:rsidRPr="00A318C0" w:rsidRDefault="00BF3A25" w:rsidP="00BF3A2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u w:val="single"/>
        </w:rPr>
      </w:pPr>
      <w:r w:rsidRPr="00A318C0">
        <w:rPr>
          <w:rFonts w:ascii="Times New Roman" w:eastAsia="Times New Roman" w:hAnsi="Times New Roman" w:cs="Times New Roman"/>
          <w:b/>
          <w:bCs/>
          <w:i/>
          <w:u w:val="single"/>
        </w:rPr>
        <w:t>Общие положения</w:t>
      </w:r>
    </w:p>
    <w:p w14:paraId="465C9DD8" w14:textId="77777777" w:rsidR="00826D46" w:rsidRPr="00A318C0" w:rsidRDefault="00826D46" w:rsidP="00826D46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6A20383D" w14:textId="77777777" w:rsidR="00BF3A25" w:rsidRPr="006F613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u w:val="single"/>
        </w:rPr>
      </w:pPr>
      <w:r w:rsidRPr="006F6130">
        <w:rPr>
          <w:rFonts w:ascii="Times New Roman" w:eastAsia="Times New Roman" w:hAnsi="Times New Roman" w:cs="Times New Roman"/>
          <w:u w:val="single"/>
        </w:rPr>
        <w:t>Предмет закупки:</w:t>
      </w:r>
      <w:r w:rsidRPr="006F6130">
        <w:rPr>
          <w:rFonts w:ascii="Times New Roman" w:eastAsia="Times New Roman" w:hAnsi="Times New Roman" w:cs="Times New Roman"/>
        </w:rPr>
        <w:t xml:space="preserve"> </w:t>
      </w:r>
      <w:r w:rsidR="006061E4" w:rsidRPr="006061E4">
        <w:rPr>
          <w:rFonts w:ascii="Times New Roman" w:eastAsia="Times New Roman" w:hAnsi="Times New Roman" w:cs="Times New Roman"/>
        </w:rPr>
        <w:t>Оказание комплекса услуг по техническому и технологическому сопровождению долотного сервиса и сервиса винтовых забойных двигателей (ВЗД) на скважине № 101 Восточно-Сузунского-5 лицензионного участка в 2025 году</w:t>
      </w:r>
      <w:r w:rsidR="00F63D31">
        <w:rPr>
          <w:rFonts w:ascii="Times New Roman" w:hAnsi="Times New Roman" w:cs="Times New Roman"/>
        </w:rPr>
        <w:t>.</w:t>
      </w:r>
    </w:p>
    <w:p w14:paraId="711A7504" w14:textId="77777777" w:rsidR="00BF3A25" w:rsidRPr="00A318C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Лот является неделимым</w:t>
      </w:r>
      <w:r w:rsidR="00807FD3" w:rsidRPr="006F6130">
        <w:rPr>
          <w:rFonts w:ascii="Times New Roman" w:eastAsia="Times New Roman" w:hAnsi="Times New Roman" w:cs="Times New Roman"/>
          <w:u w:val="single"/>
        </w:rPr>
        <w:t xml:space="preserve">. </w:t>
      </w:r>
      <w:r w:rsidR="00B2044C" w:rsidRPr="006F6130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="00B2044C" w:rsidRPr="006F6130">
        <w:rPr>
          <w:rFonts w:ascii="Times New Roman" w:eastAsia="Times New Roman" w:hAnsi="Times New Roman" w:cs="Times New Roman"/>
        </w:rPr>
        <w:t>ю.</w:t>
      </w:r>
    </w:p>
    <w:p w14:paraId="1F081A22" w14:textId="77777777" w:rsidR="00BF3A25" w:rsidRPr="0070442D" w:rsidRDefault="00BF3A25" w:rsidP="002D4896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70442D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70442D">
        <w:rPr>
          <w:rFonts w:ascii="Times New Roman" w:eastAsia="Times New Roman" w:hAnsi="Times New Roman" w:cs="Times New Roman"/>
        </w:rPr>
        <w:t>: ООО</w:t>
      </w:r>
      <w:r w:rsidR="006A3FD0" w:rsidRPr="0070442D">
        <w:rPr>
          <w:rFonts w:ascii="Times New Roman" w:eastAsia="Times New Roman" w:hAnsi="Times New Roman" w:cs="Times New Roman"/>
        </w:rPr>
        <w:t xml:space="preserve"> «Байкитская нефтегазоразведочная экспедиция» (ООО </w:t>
      </w:r>
      <w:r w:rsidRPr="0070442D">
        <w:rPr>
          <w:rFonts w:ascii="Times New Roman" w:eastAsia="Times New Roman" w:hAnsi="Times New Roman" w:cs="Times New Roman"/>
        </w:rPr>
        <w:t>«БНГРЭ»</w:t>
      </w:r>
      <w:r w:rsidR="006A3FD0" w:rsidRPr="0070442D">
        <w:rPr>
          <w:rFonts w:ascii="Times New Roman" w:eastAsia="Times New Roman" w:hAnsi="Times New Roman" w:cs="Times New Roman"/>
        </w:rPr>
        <w:t>)</w:t>
      </w:r>
    </w:p>
    <w:p w14:paraId="14DF519D" w14:textId="77777777" w:rsidR="009D5300" w:rsidRPr="0070442D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564A9D8B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14:paraId="078ACF77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(391)274-86-82 </w:t>
      </w:r>
    </w:p>
    <w:p w14:paraId="7345C645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14:paraId="56D42E31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ИНН/КПП 880 101 1908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246 501 001 </w:t>
      </w:r>
    </w:p>
    <w:p w14:paraId="24FCE1A6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14:paraId="14695A99" w14:textId="77777777" w:rsidR="009D5300" w:rsidRPr="0081207E" w:rsidRDefault="0076715F" w:rsidP="009D530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14:paraId="28C56963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БИК: </w:t>
      </w:r>
      <w:r w:rsidR="0076715F" w:rsidRPr="0081207E">
        <w:rPr>
          <w:rFonts w:ascii="Times New Roman" w:hAnsi="Times New Roman" w:cs="Times New Roman"/>
          <w:iCs/>
        </w:rPr>
        <w:t>044525880</w:t>
      </w:r>
    </w:p>
    <w:p w14:paraId="3868D195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к/с: </w:t>
      </w:r>
      <w:r w:rsidR="0076715F" w:rsidRPr="0081207E">
        <w:rPr>
          <w:rFonts w:ascii="Times New Roman" w:hAnsi="Times New Roman" w:cs="Times New Roman"/>
          <w:iCs/>
        </w:rPr>
        <w:t>30101810900000000880</w:t>
      </w:r>
    </w:p>
    <w:p w14:paraId="283D1A12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р/с: </w:t>
      </w:r>
      <w:r w:rsidR="0076715F" w:rsidRPr="0081207E">
        <w:rPr>
          <w:rFonts w:ascii="Times New Roman" w:hAnsi="Times New Roman" w:cs="Times New Roman"/>
          <w:iCs/>
        </w:rPr>
        <w:t>40702810500000005949</w:t>
      </w:r>
    </w:p>
    <w:p w14:paraId="4B1DEF51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ИНН/КПП: </w:t>
      </w:r>
      <w:r w:rsidR="0076715F" w:rsidRPr="0081207E">
        <w:rPr>
          <w:rFonts w:ascii="Times New Roman" w:hAnsi="Times New Roman" w:cs="Times New Roman"/>
          <w:iCs/>
        </w:rPr>
        <w:t>7736153344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Pr="0081207E">
        <w:rPr>
          <w:rFonts w:ascii="Times New Roman" w:hAnsi="Times New Roman" w:cs="Times New Roman"/>
          <w:iCs/>
        </w:rPr>
        <w:t>/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="0076715F" w:rsidRPr="0081207E">
        <w:rPr>
          <w:rFonts w:ascii="Times New Roman" w:hAnsi="Times New Roman" w:cs="Times New Roman"/>
          <w:iCs/>
        </w:rPr>
        <w:t>775001001</w:t>
      </w:r>
    </w:p>
    <w:p w14:paraId="5672DAE7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ОГРН: </w:t>
      </w:r>
      <w:r w:rsidR="0076715F" w:rsidRPr="0081207E">
        <w:rPr>
          <w:rFonts w:ascii="Times New Roman" w:hAnsi="Times New Roman" w:cs="Times New Roman"/>
          <w:iCs/>
        </w:rPr>
        <w:t>1027739186914</w:t>
      </w:r>
    </w:p>
    <w:p w14:paraId="0F44C004" w14:textId="77777777" w:rsidR="009D5300" w:rsidRP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Код ОКПО: </w:t>
      </w:r>
      <w:r w:rsidR="0076715F" w:rsidRPr="0081207E">
        <w:rPr>
          <w:rFonts w:ascii="Times New Roman" w:hAnsi="Times New Roman" w:cs="Times New Roman"/>
          <w:iCs/>
        </w:rPr>
        <w:t>42881635</w:t>
      </w:r>
    </w:p>
    <w:p w14:paraId="5B8702BD" w14:textId="77777777" w:rsidR="005A2B25" w:rsidRPr="005A2B25" w:rsidRDefault="00BF3A25" w:rsidP="005A2B25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Плановые сроки оказания услуг</w:t>
      </w:r>
      <w:r w:rsidRPr="00A318C0">
        <w:rPr>
          <w:rFonts w:ascii="Times New Roman" w:eastAsia="Times New Roman" w:hAnsi="Times New Roman" w:cs="Times New Roman"/>
        </w:rPr>
        <w:t xml:space="preserve">: </w:t>
      </w:r>
    </w:p>
    <w:p w14:paraId="6580E9B8" w14:textId="77777777" w:rsidR="005A2B25" w:rsidRPr="0070442D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 xml:space="preserve">1.4.1 Начало оказания услуг: </w:t>
      </w:r>
      <w:r w:rsidR="0070442D" w:rsidRPr="0070442D">
        <w:rPr>
          <w:rFonts w:ascii="Times New Roman" w:hAnsi="Times New Roman" w:cs="Times New Roman"/>
        </w:rPr>
        <w:t>24</w:t>
      </w:r>
      <w:r w:rsidR="00933218" w:rsidRPr="0070442D">
        <w:rPr>
          <w:rFonts w:ascii="Times New Roman" w:hAnsi="Times New Roman" w:cs="Times New Roman"/>
        </w:rPr>
        <w:t>.02.202</w:t>
      </w:r>
      <w:r w:rsidR="007F0766" w:rsidRPr="0070442D">
        <w:rPr>
          <w:rFonts w:ascii="Times New Roman" w:hAnsi="Times New Roman" w:cs="Times New Roman"/>
        </w:rPr>
        <w:t>5</w:t>
      </w:r>
      <w:r w:rsidR="001F7C82" w:rsidRPr="0070442D">
        <w:rPr>
          <w:rFonts w:ascii="Times New Roman" w:hAnsi="Times New Roman" w:cs="Times New Roman"/>
        </w:rPr>
        <w:t xml:space="preserve"> </w:t>
      </w:r>
      <w:r w:rsidR="001E10E3" w:rsidRPr="0070442D">
        <w:rPr>
          <w:rFonts w:ascii="Times New Roman" w:hAnsi="Times New Roman" w:cs="Times New Roman"/>
        </w:rPr>
        <w:t>г</w:t>
      </w:r>
      <w:r w:rsidR="001F7C82" w:rsidRPr="0070442D">
        <w:rPr>
          <w:rFonts w:ascii="Times New Roman" w:hAnsi="Times New Roman" w:cs="Times New Roman"/>
        </w:rPr>
        <w:t>.</w:t>
      </w:r>
      <w:r w:rsidR="001E10E3" w:rsidRPr="0070442D">
        <w:rPr>
          <w:rFonts w:ascii="Times New Roman" w:hAnsi="Times New Roman" w:cs="Times New Roman"/>
        </w:rPr>
        <w:t>;</w:t>
      </w:r>
    </w:p>
    <w:p w14:paraId="1D93289D" w14:textId="77777777" w:rsidR="00BF3A25" w:rsidRPr="0070442D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1.</w:t>
      </w:r>
      <w:r w:rsidR="00933218" w:rsidRPr="0070442D">
        <w:rPr>
          <w:rFonts w:ascii="Times New Roman" w:hAnsi="Times New Roman" w:cs="Times New Roman"/>
        </w:rPr>
        <w:t>4.2 Окончание оказания услуг: 01.03.202</w:t>
      </w:r>
      <w:r w:rsidR="007F0766" w:rsidRPr="0070442D">
        <w:rPr>
          <w:rFonts w:ascii="Times New Roman" w:hAnsi="Times New Roman" w:cs="Times New Roman"/>
        </w:rPr>
        <w:t>6</w:t>
      </w:r>
      <w:r w:rsidR="001F7C82" w:rsidRPr="0070442D">
        <w:rPr>
          <w:rFonts w:ascii="Times New Roman" w:hAnsi="Times New Roman" w:cs="Times New Roman"/>
        </w:rPr>
        <w:t xml:space="preserve"> </w:t>
      </w:r>
      <w:r w:rsidRPr="0070442D">
        <w:rPr>
          <w:rFonts w:ascii="Times New Roman" w:hAnsi="Times New Roman" w:cs="Times New Roman"/>
        </w:rPr>
        <w:t>г.</w:t>
      </w:r>
      <w:r w:rsidR="001E10E3" w:rsidRPr="0070442D">
        <w:rPr>
          <w:rFonts w:ascii="Times New Roman" w:hAnsi="Times New Roman" w:cs="Times New Roman"/>
        </w:rPr>
        <w:t>;</w:t>
      </w:r>
    </w:p>
    <w:p w14:paraId="3189D0AC" w14:textId="77777777" w:rsidR="001E10E3" w:rsidRPr="0070442D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1.4.3 Начал</w:t>
      </w:r>
      <w:r w:rsidR="009527BD" w:rsidRPr="0070442D">
        <w:rPr>
          <w:rFonts w:ascii="Times New Roman" w:hAnsi="Times New Roman" w:cs="Times New Roman"/>
        </w:rPr>
        <w:t>о</w:t>
      </w:r>
      <w:r w:rsidRPr="0070442D">
        <w:rPr>
          <w:rFonts w:ascii="Times New Roman" w:hAnsi="Times New Roman" w:cs="Times New Roman"/>
        </w:rPr>
        <w:t xml:space="preserve"> бурени</w:t>
      </w:r>
      <w:r w:rsidR="009527BD" w:rsidRPr="0070442D">
        <w:rPr>
          <w:rFonts w:ascii="Times New Roman" w:hAnsi="Times New Roman" w:cs="Times New Roman"/>
        </w:rPr>
        <w:t>я</w:t>
      </w:r>
      <w:r w:rsidRPr="0070442D">
        <w:rPr>
          <w:rFonts w:ascii="Times New Roman" w:hAnsi="Times New Roman" w:cs="Times New Roman"/>
        </w:rPr>
        <w:t xml:space="preserve"> скважины: </w:t>
      </w:r>
      <w:r w:rsidR="00F16A64" w:rsidRPr="0070442D">
        <w:rPr>
          <w:rFonts w:ascii="Times New Roman" w:hAnsi="Times New Roman" w:cs="Times New Roman"/>
        </w:rPr>
        <w:t>0</w:t>
      </w:r>
      <w:r w:rsidR="00A21564" w:rsidRPr="0070442D">
        <w:rPr>
          <w:rFonts w:ascii="Times New Roman" w:hAnsi="Times New Roman" w:cs="Times New Roman"/>
        </w:rPr>
        <w:t>1</w:t>
      </w:r>
      <w:r w:rsidR="00F16A64" w:rsidRPr="0070442D">
        <w:rPr>
          <w:rFonts w:ascii="Times New Roman" w:hAnsi="Times New Roman" w:cs="Times New Roman"/>
        </w:rPr>
        <w:t>.0</w:t>
      </w:r>
      <w:r w:rsidR="00A21564" w:rsidRPr="0070442D">
        <w:rPr>
          <w:rFonts w:ascii="Times New Roman" w:hAnsi="Times New Roman" w:cs="Times New Roman"/>
        </w:rPr>
        <w:t>5</w:t>
      </w:r>
      <w:r w:rsidR="00F16A64" w:rsidRPr="0070442D">
        <w:rPr>
          <w:rFonts w:ascii="Times New Roman" w:hAnsi="Times New Roman" w:cs="Times New Roman"/>
        </w:rPr>
        <w:t>.202</w:t>
      </w:r>
      <w:r w:rsidR="007F0766" w:rsidRPr="0070442D">
        <w:rPr>
          <w:rFonts w:ascii="Times New Roman" w:hAnsi="Times New Roman" w:cs="Times New Roman"/>
        </w:rPr>
        <w:t>5</w:t>
      </w:r>
      <w:r w:rsidRPr="0070442D">
        <w:rPr>
          <w:rFonts w:ascii="Times New Roman" w:hAnsi="Times New Roman" w:cs="Times New Roman"/>
        </w:rPr>
        <w:t xml:space="preserve"> г</w:t>
      </w:r>
      <w:r w:rsidR="001F7C82" w:rsidRPr="0070442D">
        <w:rPr>
          <w:rFonts w:ascii="Times New Roman" w:hAnsi="Times New Roman" w:cs="Times New Roman"/>
        </w:rPr>
        <w:t>.</w:t>
      </w:r>
      <w:r w:rsidRPr="0070442D">
        <w:rPr>
          <w:rFonts w:ascii="Times New Roman" w:hAnsi="Times New Roman" w:cs="Times New Roman"/>
        </w:rPr>
        <w:t>;</w:t>
      </w:r>
    </w:p>
    <w:p w14:paraId="0F1734D3" w14:textId="77777777" w:rsidR="001E10E3" w:rsidRPr="0070442D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1.4.4</w:t>
      </w:r>
      <w:r w:rsidR="00CE1EC8" w:rsidRPr="0070442D">
        <w:rPr>
          <w:rFonts w:ascii="Times New Roman" w:hAnsi="Times New Roman" w:cs="Times New Roman"/>
        </w:rPr>
        <w:t xml:space="preserve">. Окончание бурения скважины: </w:t>
      </w:r>
      <w:r w:rsidR="0070442D" w:rsidRPr="0070442D">
        <w:rPr>
          <w:rFonts w:ascii="Times New Roman" w:hAnsi="Times New Roman" w:cs="Times New Roman"/>
        </w:rPr>
        <w:t>26</w:t>
      </w:r>
      <w:r w:rsidR="00A21564" w:rsidRPr="0070442D">
        <w:rPr>
          <w:rFonts w:ascii="Times New Roman" w:hAnsi="Times New Roman" w:cs="Times New Roman"/>
        </w:rPr>
        <w:t>.0</w:t>
      </w:r>
      <w:r w:rsidR="007F0766" w:rsidRPr="0070442D">
        <w:rPr>
          <w:rFonts w:ascii="Times New Roman" w:hAnsi="Times New Roman" w:cs="Times New Roman"/>
        </w:rPr>
        <w:t>8</w:t>
      </w:r>
      <w:r w:rsidR="00A21564" w:rsidRPr="0070442D">
        <w:rPr>
          <w:rFonts w:ascii="Times New Roman" w:hAnsi="Times New Roman" w:cs="Times New Roman"/>
        </w:rPr>
        <w:t>.202</w:t>
      </w:r>
      <w:r w:rsidR="007F0766" w:rsidRPr="0070442D">
        <w:rPr>
          <w:rFonts w:ascii="Times New Roman" w:hAnsi="Times New Roman" w:cs="Times New Roman"/>
        </w:rPr>
        <w:t>5</w:t>
      </w:r>
      <w:r w:rsidR="00F16A64" w:rsidRPr="0070442D">
        <w:rPr>
          <w:rFonts w:ascii="Times New Roman" w:hAnsi="Times New Roman" w:cs="Times New Roman"/>
        </w:rPr>
        <w:t xml:space="preserve"> </w:t>
      </w:r>
      <w:r w:rsidRPr="0070442D">
        <w:rPr>
          <w:rFonts w:ascii="Times New Roman" w:hAnsi="Times New Roman" w:cs="Times New Roman"/>
        </w:rPr>
        <w:t>г.;</w:t>
      </w:r>
    </w:p>
    <w:p w14:paraId="08522A11" w14:textId="77777777" w:rsidR="005A2B25" w:rsidRPr="0070442D" w:rsidRDefault="005A2B25" w:rsidP="005A2B25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1.4.</w:t>
      </w:r>
      <w:r w:rsidR="003F5A03" w:rsidRPr="0070442D">
        <w:rPr>
          <w:rFonts w:ascii="Times New Roman" w:hAnsi="Times New Roman" w:cs="Times New Roman"/>
        </w:rPr>
        <w:t>5</w:t>
      </w:r>
      <w:r w:rsidRPr="0070442D">
        <w:rPr>
          <w:rFonts w:ascii="Times New Roman" w:hAnsi="Times New Roman" w:cs="Times New Roman"/>
        </w:rPr>
        <w:t>. Мобилизация материалов и</w:t>
      </w:r>
      <w:r w:rsidR="00CE1EC8" w:rsidRPr="0070442D">
        <w:rPr>
          <w:rFonts w:ascii="Times New Roman" w:hAnsi="Times New Roman" w:cs="Times New Roman"/>
        </w:rPr>
        <w:t xml:space="preserve"> оборудования: </w:t>
      </w:r>
      <w:r w:rsidR="0070442D" w:rsidRPr="0070442D">
        <w:rPr>
          <w:rFonts w:ascii="Times New Roman" w:hAnsi="Times New Roman" w:cs="Times New Roman"/>
        </w:rPr>
        <w:t>24</w:t>
      </w:r>
      <w:r w:rsidR="00CE1EC8" w:rsidRPr="0070442D">
        <w:rPr>
          <w:rFonts w:ascii="Times New Roman" w:hAnsi="Times New Roman" w:cs="Times New Roman"/>
        </w:rPr>
        <w:t>.02.202</w:t>
      </w:r>
      <w:r w:rsidR="00C9431E" w:rsidRPr="0070442D">
        <w:rPr>
          <w:rFonts w:ascii="Times New Roman" w:hAnsi="Times New Roman" w:cs="Times New Roman"/>
        </w:rPr>
        <w:t>5</w:t>
      </w:r>
      <w:r w:rsidR="001F7C82" w:rsidRPr="0070442D">
        <w:rPr>
          <w:rFonts w:ascii="Times New Roman" w:hAnsi="Times New Roman" w:cs="Times New Roman"/>
        </w:rPr>
        <w:t xml:space="preserve"> </w:t>
      </w:r>
      <w:r w:rsidR="00CE1EC8" w:rsidRPr="0070442D">
        <w:rPr>
          <w:rFonts w:ascii="Times New Roman" w:hAnsi="Times New Roman" w:cs="Times New Roman"/>
        </w:rPr>
        <w:t xml:space="preserve">г. </w:t>
      </w:r>
      <w:r w:rsidR="0039170B" w:rsidRPr="0070442D">
        <w:rPr>
          <w:rFonts w:ascii="Times New Roman" w:hAnsi="Times New Roman" w:cs="Times New Roman"/>
        </w:rPr>
        <w:t>–</w:t>
      </w:r>
      <w:r w:rsidR="0039170B">
        <w:rPr>
          <w:rFonts w:ascii="Times New Roman" w:hAnsi="Times New Roman" w:cs="Times New Roman"/>
        </w:rPr>
        <w:t xml:space="preserve"> </w:t>
      </w:r>
      <w:r w:rsidR="0070442D" w:rsidRPr="0070442D">
        <w:rPr>
          <w:rFonts w:ascii="Times New Roman" w:hAnsi="Times New Roman" w:cs="Times New Roman"/>
        </w:rPr>
        <w:t>31</w:t>
      </w:r>
      <w:r w:rsidR="00CE1EC8" w:rsidRPr="0070442D">
        <w:rPr>
          <w:rFonts w:ascii="Times New Roman" w:hAnsi="Times New Roman" w:cs="Times New Roman"/>
        </w:rPr>
        <w:t>.0</w:t>
      </w:r>
      <w:r w:rsidR="0070442D" w:rsidRPr="0070442D">
        <w:rPr>
          <w:rFonts w:ascii="Times New Roman" w:hAnsi="Times New Roman" w:cs="Times New Roman"/>
        </w:rPr>
        <w:t>3</w:t>
      </w:r>
      <w:r w:rsidRPr="0070442D">
        <w:rPr>
          <w:rFonts w:ascii="Times New Roman" w:hAnsi="Times New Roman" w:cs="Times New Roman"/>
        </w:rPr>
        <w:t>.202</w:t>
      </w:r>
      <w:r w:rsidR="00C9431E" w:rsidRPr="0070442D">
        <w:rPr>
          <w:rFonts w:ascii="Times New Roman" w:hAnsi="Times New Roman" w:cs="Times New Roman"/>
        </w:rPr>
        <w:t>5</w:t>
      </w:r>
      <w:r w:rsidR="001F7C82" w:rsidRPr="0070442D">
        <w:rPr>
          <w:rFonts w:ascii="Times New Roman" w:hAnsi="Times New Roman" w:cs="Times New Roman"/>
        </w:rPr>
        <w:t xml:space="preserve"> </w:t>
      </w:r>
      <w:r w:rsidRPr="0070442D">
        <w:rPr>
          <w:rFonts w:ascii="Times New Roman" w:hAnsi="Times New Roman" w:cs="Times New Roman"/>
        </w:rPr>
        <w:t>г</w:t>
      </w:r>
      <w:r w:rsidR="001F7C82" w:rsidRPr="0070442D">
        <w:rPr>
          <w:rFonts w:ascii="Times New Roman" w:hAnsi="Times New Roman" w:cs="Times New Roman"/>
        </w:rPr>
        <w:t>.</w:t>
      </w:r>
      <w:r w:rsidR="001E10E3" w:rsidRPr="0070442D">
        <w:rPr>
          <w:rFonts w:ascii="Times New Roman" w:hAnsi="Times New Roman" w:cs="Times New Roman"/>
        </w:rPr>
        <w:t>;</w:t>
      </w:r>
    </w:p>
    <w:p w14:paraId="5324967B" w14:textId="77777777" w:rsidR="005A2B25" w:rsidRPr="00A318C0" w:rsidRDefault="005A2B25" w:rsidP="00711487">
      <w:pPr>
        <w:spacing w:after="120" w:line="240" w:lineRule="auto"/>
        <w:ind w:left="425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1.4.</w:t>
      </w:r>
      <w:r w:rsidR="003F5A03" w:rsidRPr="0070442D">
        <w:rPr>
          <w:rFonts w:ascii="Times New Roman" w:hAnsi="Times New Roman" w:cs="Times New Roman"/>
        </w:rPr>
        <w:t>6</w:t>
      </w:r>
      <w:r w:rsidRPr="0070442D">
        <w:rPr>
          <w:rFonts w:ascii="Times New Roman" w:hAnsi="Times New Roman" w:cs="Times New Roman"/>
        </w:rPr>
        <w:t>. Демобилизация материалов и оборудования: 01.01.202</w:t>
      </w:r>
      <w:r w:rsidR="00C9431E" w:rsidRPr="0070442D">
        <w:rPr>
          <w:rFonts w:ascii="Times New Roman" w:hAnsi="Times New Roman" w:cs="Times New Roman"/>
        </w:rPr>
        <w:t>6</w:t>
      </w:r>
      <w:r w:rsidR="001F7C82" w:rsidRPr="0070442D">
        <w:rPr>
          <w:rFonts w:ascii="Times New Roman" w:hAnsi="Times New Roman" w:cs="Times New Roman"/>
        </w:rPr>
        <w:t xml:space="preserve"> </w:t>
      </w:r>
      <w:r w:rsidRPr="0070442D">
        <w:rPr>
          <w:rFonts w:ascii="Times New Roman" w:hAnsi="Times New Roman" w:cs="Times New Roman"/>
        </w:rPr>
        <w:t>г. – 01.03.202</w:t>
      </w:r>
      <w:r w:rsidR="00C9431E" w:rsidRPr="0070442D">
        <w:rPr>
          <w:rFonts w:ascii="Times New Roman" w:hAnsi="Times New Roman" w:cs="Times New Roman"/>
        </w:rPr>
        <w:t>6</w:t>
      </w:r>
      <w:r w:rsidR="001F7C82" w:rsidRPr="0070442D">
        <w:rPr>
          <w:rFonts w:ascii="Times New Roman" w:hAnsi="Times New Roman" w:cs="Times New Roman"/>
        </w:rPr>
        <w:t xml:space="preserve"> </w:t>
      </w:r>
      <w:r w:rsidRPr="0070442D">
        <w:rPr>
          <w:rFonts w:ascii="Times New Roman" w:hAnsi="Times New Roman" w:cs="Times New Roman"/>
        </w:rPr>
        <w:t>г</w:t>
      </w:r>
      <w:r w:rsidR="001E10E3" w:rsidRPr="0070442D">
        <w:rPr>
          <w:rFonts w:ascii="Times New Roman" w:hAnsi="Times New Roman" w:cs="Times New Roman"/>
        </w:rPr>
        <w:t>.</w:t>
      </w:r>
    </w:p>
    <w:p w14:paraId="3DADD163" w14:textId="77777777" w:rsid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Место оказания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9D5300" w:rsidRPr="007F0766">
        <w:rPr>
          <w:rFonts w:ascii="Times New Roman" w:hAnsi="Times New Roman" w:cs="Times New Roman"/>
        </w:rPr>
        <w:t>Скважина</w:t>
      </w:r>
      <w:r w:rsidR="003549EB" w:rsidRPr="007F0766">
        <w:rPr>
          <w:rFonts w:ascii="Times New Roman" w:hAnsi="Times New Roman" w:cs="Times New Roman"/>
        </w:rPr>
        <w:t xml:space="preserve"> </w:t>
      </w:r>
      <w:r w:rsidR="00CC7BC8" w:rsidRPr="007F0766">
        <w:rPr>
          <w:rFonts w:ascii="Times New Roman" w:hAnsi="Times New Roman" w:cs="Times New Roman"/>
        </w:rPr>
        <w:t xml:space="preserve">№ 101 Восточно-Сузунского-5 </w:t>
      </w:r>
      <w:r w:rsidR="002E57E3">
        <w:rPr>
          <w:rFonts w:ascii="Times New Roman" w:hAnsi="Times New Roman" w:cs="Times New Roman"/>
        </w:rPr>
        <w:t>л</w:t>
      </w:r>
      <w:r w:rsidR="00CC7BC8" w:rsidRPr="007F0766">
        <w:rPr>
          <w:rFonts w:ascii="Times New Roman" w:hAnsi="Times New Roman" w:cs="Times New Roman"/>
        </w:rPr>
        <w:t>ицензионного участка</w:t>
      </w:r>
      <w:r w:rsidR="009D5300" w:rsidRPr="007F0766">
        <w:rPr>
          <w:rFonts w:ascii="Times New Roman" w:hAnsi="Times New Roman" w:cs="Times New Roman"/>
        </w:rPr>
        <w:t xml:space="preserve">, расположенная в </w:t>
      </w:r>
      <w:r w:rsidR="00A21564" w:rsidRPr="007F0766">
        <w:rPr>
          <w:rFonts w:ascii="Times New Roman" w:hAnsi="Times New Roman" w:cs="Times New Roman"/>
        </w:rPr>
        <w:t>Т</w:t>
      </w:r>
      <w:r w:rsidR="007F0766" w:rsidRPr="007F0766">
        <w:rPr>
          <w:rFonts w:ascii="Times New Roman" w:hAnsi="Times New Roman" w:cs="Times New Roman"/>
        </w:rPr>
        <w:t>аймырском Долгано-Ненецком муниципальном</w:t>
      </w:r>
      <w:r w:rsidR="009D5300" w:rsidRPr="007F0766">
        <w:rPr>
          <w:rFonts w:ascii="Times New Roman" w:hAnsi="Times New Roman" w:cs="Times New Roman"/>
        </w:rPr>
        <w:t xml:space="preserve"> район</w:t>
      </w:r>
      <w:r w:rsidR="00A21564" w:rsidRPr="007F0766">
        <w:rPr>
          <w:rFonts w:ascii="Times New Roman" w:hAnsi="Times New Roman" w:cs="Times New Roman"/>
        </w:rPr>
        <w:t>е</w:t>
      </w:r>
      <w:r w:rsidR="009D5300" w:rsidRPr="007F0766">
        <w:rPr>
          <w:rFonts w:ascii="Times New Roman" w:hAnsi="Times New Roman" w:cs="Times New Roman"/>
        </w:rPr>
        <w:t>. Данные о расположении скважины указаны в Приложении 1 к настоящим требованиям.</w:t>
      </w:r>
    </w:p>
    <w:p w14:paraId="5046A199" w14:textId="77777777" w:rsidR="00BF3A25" w:rsidRP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Планируемый объем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B2000A">
        <w:rPr>
          <w:rFonts w:ascii="Times New Roman" w:eastAsia="Times New Roman" w:hAnsi="Times New Roman" w:cs="Times New Roman"/>
        </w:rPr>
        <w:t>в Техническом задании</w:t>
      </w:r>
      <w:r w:rsidR="00F64DA5" w:rsidRPr="00B2000A">
        <w:rPr>
          <w:rFonts w:ascii="Times New Roman" w:eastAsia="Times New Roman" w:hAnsi="Times New Roman" w:cs="Times New Roman"/>
        </w:rPr>
        <w:t xml:space="preserve"> (Приложени</w:t>
      </w:r>
      <w:r w:rsidR="002E57E3"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оферты).</w:t>
      </w:r>
    </w:p>
    <w:p w14:paraId="40B2543B" w14:textId="77777777" w:rsidR="00BF3A25" w:rsidRPr="00A318C0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</w:t>
      </w:r>
      <w:r w:rsidR="001B4C0E" w:rsidRPr="00A318C0">
        <w:rPr>
          <w:rFonts w:ascii="Times New Roman" w:eastAsia="Times New Roman" w:hAnsi="Times New Roman" w:cs="Times New Roman"/>
        </w:rPr>
        <w:t xml:space="preserve"> н</w:t>
      </w:r>
      <w:r w:rsidR="00284D90">
        <w:rPr>
          <w:rFonts w:ascii="Times New Roman" w:eastAsia="Times New Roman" w:hAnsi="Times New Roman" w:cs="Times New Roman"/>
        </w:rPr>
        <w:t xml:space="preserve">а мобилизацию и демобилизацию </w:t>
      </w:r>
      <w:r w:rsidR="00790948">
        <w:rPr>
          <w:rFonts w:ascii="Times New Roman" w:eastAsia="Times New Roman" w:hAnsi="Times New Roman" w:cs="Times New Roman"/>
        </w:rPr>
        <w:t>оборудования</w:t>
      </w:r>
      <w:r w:rsidR="00284D90">
        <w:rPr>
          <w:rFonts w:ascii="Times New Roman" w:eastAsia="Times New Roman" w:hAnsi="Times New Roman" w:cs="Times New Roman"/>
        </w:rPr>
        <w:t xml:space="preserve">. </w:t>
      </w:r>
    </w:p>
    <w:p w14:paraId="1456399F" w14:textId="77777777" w:rsidR="00711487" w:rsidRPr="006F6130" w:rsidRDefault="00BF3A25" w:rsidP="002C080C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Цель оказываемых услуг</w:t>
      </w:r>
      <w:r w:rsidRPr="006F6130">
        <w:rPr>
          <w:rFonts w:ascii="Times New Roman" w:eastAsia="Times New Roman" w:hAnsi="Times New Roman" w:cs="Times New Roman"/>
        </w:rPr>
        <w:t xml:space="preserve">: </w:t>
      </w:r>
      <w:r w:rsidR="006F6130">
        <w:rPr>
          <w:rFonts w:ascii="Times New Roman" w:eastAsia="Times New Roman" w:hAnsi="Times New Roman" w:cs="Times New Roman"/>
        </w:rPr>
        <w:t>«</w:t>
      </w:r>
      <w:r w:rsidR="006061E4" w:rsidRPr="006061E4">
        <w:rPr>
          <w:rFonts w:ascii="Times New Roman" w:eastAsia="Times New Roman" w:hAnsi="Times New Roman" w:cs="Times New Roman"/>
        </w:rPr>
        <w:t>Оказание комплекса услуг по техническому и технологическому сопровождению долотного сервиса и сервиса винтовых забойных двигателей (ВЗД) на скважине № 101 Восточно-Сузунского-5 лицензионного участка в 2025 году</w:t>
      </w:r>
      <w:r w:rsidR="003549EB">
        <w:rPr>
          <w:rFonts w:ascii="Times New Roman" w:eastAsia="Times New Roman" w:hAnsi="Times New Roman" w:cs="Times New Roman"/>
        </w:rPr>
        <w:t>». Р</w:t>
      </w:r>
      <w:r w:rsidR="006F6130">
        <w:rPr>
          <w:rFonts w:ascii="Times New Roman" w:eastAsia="Times New Roman" w:hAnsi="Times New Roman" w:cs="Times New Roman"/>
        </w:rPr>
        <w:t>езультатом оказанного комплекса услуг является</w:t>
      </w:r>
      <w:r w:rsidR="00C01E75">
        <w:rPr>
          <w:rFonts w:ascii="Times New Roman" w:eastAsia="Times New Roman" w:hAnsi="Times New Roman" w:cs="Times New Roman"/>
        </w:rPr>
        <w:t xml:space="preserve"> своевременное</w:t>
      </w:r>
      <w:r w:rsidR="006F6130">
        <w:rPr>
          <w:rFonts w:ascii="Times New Roman" w:eastAsia="Times New Roman" w:hAnsi="Times New Roman" w:cs="Times New Roman"/>
        </w:rPr>
        <w:t xml:space="preserve"> достижение проектной глубины с соблюдением</w:t>
      </w:r>
      <w:r w:rsidR="00C01E75">
        <w:rPr>
          <w:rFonts w:ascii="Times New Roman" w:eastAsia="Times New Roman" w:hAnsi="Times New Roman" w:cs="Times New Roman"/>
        </w:rPr>
        <w:t xml:space="preserve"> безаварийной</w:t>
      </w:r>
      <w:r w:rsidR="006F6130">
        <w:rPr>
          <w:rFonts w:ascii="Times New Roman" w:eastAsia="Times New Roman" w:hAnsi="Times New Roman" w:cs="Times New Roman"/>
        </w:rPr>
        <w:t xml:space="preserve"> техники и технологии строительства скважины согласно Программе </w:t>
      </w:r>
      <w:r w:rsidR="006F6130" w:rsidRPr="00856E6C">
        <w:rPr>
          <w:rFonts w:ascii="Times New Roman" w:eastAsia="Times New Roman" w:hAnsi="Times New Roman" w:cs="Times New Roman"/>
        </w:rPr>
        <w:t>про</w:t>
      </w:r>
      <w:r w:rsidR="002E57E3" w:rsidRPr="00856E6C">
        <w:rPr>
          <w:rFonts w:ascii="Times New Roman" w:eastAsia="Times New Roman" w:hAnsi="Times New Roman" w:cs="Times New Roman"/>
        </w:rPr>
        <w:t>х</w:t>
      </w:r>
      <w:r w:rsidR="006F6130" w:rsidRPr="00856E6C">
        <w:rPr>
          <w:rFonts w:ascii="Times New Roman" w:eastAsia="Times New Roman" w:hAnsi="Times New Roman" w:cs="Times New Roman"/>
        </w:rPr>
        <w:t>одки</w:t>
      </w:r>
      <w:r w:rsidR="006F6130">
        <w:rPr>
          <w:rFonts w:ascii="Times New Roman" w:eastAsia="Times New Roman" w:hAnsi="Times New Roman" w:cs="Times New Roman"/>
        </w:rPr>
        <w:t xml:space="preserve"> скважины, Программе на бурение и Проекту на строительство скважины.</w:t>
      </w:r>
      <w:r w:rsidR="00711487" w:rsidRPr="006F6130">
        <w:rPr>
          <w:rFonts w:ascii="Times New Roman" w:eastAsia="Times New Roman" w:hAnsi="Times New Roman" w:cs="Times New Roman"/>
        </w:rPr>
        <w:br w:type="page"/>
      </w:r>
    </w:p>
    <w:p w14:paraId="4AED489A" w14:textId="77777777"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предмету закупки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595"/>
      </w:tblGrid>
      <w:tr w:rsidR="008A0FF9" w:rsidRPr="00A318C0" w14:paraId="7A0053AF" w14:textId="77777777" w:rsidTr="00E13DFE">
        <w:tc>
          <w:tcPr>
            <w:tcW w:w="851" w:type="dxa"/>
            <w:vAlign w:val="center"/>
          </w:tcPr>
          <w:p w14:paraId="0C070C7F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vAlign w:val="center"/>
          </w:tcPr>
          <w:p w14:paraId="057721BB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14:paraId="4655C23F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14:paraId="6309D762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595" w:type="dxa"/>
            <w:vAlign w:val="center"/>
          </w:tcPr>
          <w:p w14:paraId="0B98A50B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14:paraId="40263B81" w14:textId="77777777" w:rsidTr="00E13DFE">
        <w:tc>
          <w:tcPr>
            <w:tcW w:w="10490" w:type="dxa"/>
            <w:gridSpan w:val="5"/>
            <w:vAlign w:val="center"/>
          </w:tcPr>
          <w:p w14:paraId="799765B8" w14:textId="77777777"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14:paraId="6A3E1EB7" w14:textId="77777777" w:rsidTr="00E13DFE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5A0DA" w14:textId="77777777"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88EA1" w14:textId="77777777"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14:paraId="1844A29D" w14:textId="77777777"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14:paraId="1C1F18A2" w14:textId="77777777"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000D025" w14:textId="77777777"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14:paraId="1803F1D7" w14:textId="77777777" w:rsidTr="00E13DFE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D354F" w14:textId="77777777"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07F2" w14:textId="77777777"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(Приложение 1)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48648" w14:textId="77777777"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(Приложение №1)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08147" w14:textId="77777777"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C43DA" w14:textId="77777777"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F5690" w:rsidRPr="00A318C0" w14:paraId="1D0AC7E3" w14:textId="77777777" w:rsidTr="00E13DFE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19175" w14:textId="77777777" w:rsidR="007F5690" w:rsidRPr="004A3B54" w:rsidRDefault="007F5690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612DD" w14:textId="77777777" w:rsidR="007F5690" w:rsidRPr="004A3B54" w:rsidRDefault="007F5690" w:rsidP="00856E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B54"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="006B21CB"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полной гаммы шарошечных и PDC долот, необходимые ВЗД, Ясы, ЗИП </w:t>
            </w:r>
            <w:r w:rsidR="00AF41F2" w:rsidRPr="004A3B54">
              <w:rPr>
                <w:rFonts w:ascii="Times New Roman" w:hAnsi="Times New Roman"/>
                <w:sz w:val="20"/>
                <w:szCs w:val="20"/>
              </w:rPr>
              <w:t>согласно условиям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задания, а </w:t>
            </w:r>
            <w:r w:rsidR="00AF41F2" w:rsidRPr="004A3B54">
              <w:rPr>
                <w:rFonts w:ascii="Times New Roman" w:hAnsi="Times New Roman"/>
                <w:sz w:val="20"/>
                <w:szCs w:val="20"/>
              </w:rPr>
              <w:t>также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3B5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необходимый запас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CA2" w:rsidRPr="004A3B54">
              <w:rPr>
                <w:rFonts w:ascii="Times New Roman" w:hAnsi="Times New Roman"/>
                <w:sz w:val="20"/>
                <w:szCs w:val="20"/>
              </w:rPr>
              <w:t>согласно техническому заданию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E8E90" w14:textId="56E13987" w:rsidR="007F5690" w:rsidRPr="004A3B54" w:rsidRDefault="007F5690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/>
                <w:sz w:val="20"/>
                <w:szCs w:val="20"/>
              </w:rPr>
              <w:t>Предоставить копии паспортов на планируемые к применению оборудования долот, ВЗД и Ясы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001D4" w14:textId="77777777" w:rsidR="007F5690" w:rsidRPr="004A3B54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301DA" w14:textId="77777777" w:rsidR="007F5690" w:rsidRPr="004A3B54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14:paraId="28ED7538" w14:textId="77777777" w:rsidTr="00E13DFE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31214" w14:textId="77777777" w:rsidR="00127ABD" w:rsidRPr="004A3B54" w:rsidRDefault="00127ABD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94F1A" w14:textId="77777777" w:rsidR="00127ABD" w:rsidRPr="00A318C0" w:rsidRDefault="00127ABD" w:rsidP="00856E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компьютерных программ, выполняющих гидравлические и механические расчеты, для определения прогнозируемых параметров и оптимизации режимов бурения в оперативном режиме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C5703" w14:textId="77777777" w:rsidR="00127ABD" w:rsidRPr="00A318C0" w:rsidRDefault="007F5690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Предоставить типовые расчеты </w:t>
            </w:r>
            <w:r w:rsidRPr="00C31331">
              <w:rPr>
                <w:rFonts w:ascii="Times New Roman" w:hAnsi="Times New Roman"/>
                <w:sz w:val="20"/>
                <w:szCs w:val="20"/>
              </w:rPr>
              <w:t>согласно условиям технического задания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 xml:space="preserve">, а также лицензию на использование </w:t>
            </w:r>
            <w:r w:rsidR="00C31331" w:rsidRPr="00C31331">
              <w:rPr>
                <w:rFonts w:ascii="Times New Roman" w:hAnsi="Times New Roman"/>
                <w:sz w:val="20"/>
                <w:szCs w:val="20"/>
              </w:rPr>
              <w:t xml:space="preserve">специализированного 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>программного обеспечения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2DB44" w14:textId="77777777"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29CFC" w14:textId="77777777"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14:paraId="38B6C0FB" w14:textId="77777777" w:rsidR="002B7806" w:rsidRPr="00A318C0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6163CA4" w14:textId="77777777"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119"/>
        <w:gridCol w:w="1353"/>
        <w:gridCol w:w="1418"/>
      </w:tblGrid>
      <w:tr w:rsidR="004772B4" w:rsidRPr="00A318C0" w14:paraId="0DEB5329" w14:textId="77777777" w:rsidTr="00DB7CCE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214927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03462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67DEC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9BD45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EE7B2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14:paraId="10E37761" w14:textId="77777777" w:rsidTr="00DB7CCE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207EB" w14:textId="77777777" w:rsidR="00826E83" w:rsidRPr="00E13DFE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67971" w14:textId="77777777" w:rsidR="00826E83" w:rsidRPr="00A318C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14:paraId="717DD14B" w14:textId="77777777" w:rsidR="00826E83" w:rsidRPr="00A318C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32402" w14:textId="77777777" w:rsidR="00826E83" w:rsidRPr="00A318C0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91AA5" w14:textId="77777777"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01571" w14:textId="77777777"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2C786E7A" w14:textId="77777777" w:rsidTr="00DB7CCE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678A3A" w14:textId="77777777" w:rsidR="00645196" w:rsidRPr="004A3B54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E7935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CD18E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64519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FF7CC" w14:textId="77777777"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22453" w14:textId="77777777"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52C097E7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30E7F" w14:textId="77777777" w:rsidR="00645196" w:rsidRPr="004A3B54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FDF3F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A318C0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63A60" w:rsidRPr="00A318C0">
              <w:rPr>
                <w:rFonts w:ascii="Times New Roman" w:hAnsi="Times New Roman" w:cs="Times New Roman"/>
                <w:sz w:val="20"/>
                <w:szCs w:val="20"/>
              </w:rPr>
              <w:t>БНГРЭ</w:t>
            </w:r>
            <w:r w:rsidR="00363A6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63A60"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3A60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46E2B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363A60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  <w:r w:rsidR="00363A60" w:rsidRPr="00333F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523F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700A6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51113F45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04A37" w14:textId="77777777" w:rsidR="00645196" w:rsidRPr="004A3B54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BFCE4" w14:textId="77777777" w:rsidR="00645196" w:rsidRPr="00415AE7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отчетной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по данному виду услуг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199A9" w14:textId="77777777" w:rsidR="00645196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0B246" w14:textId="77777777"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40504" w14:textId="77777777"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26885939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B52B96" w14:textId="77777777" w:rsidR="00645196" w:rsidRPr="004A3B54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5D416" w14:textId="77777777"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последних двух лет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лучаев судебных разбирательств в качестве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 «Роснефть», ПАО «Газпром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62B7A" w14:textId="77777777"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EDF35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5BFB6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645196" w:rsidRPr="00A318C0" w14:paraId="22C84B1D" w14:textId="77777777" w:rsidTr="00DB7CCE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D3AAB6" w14:textId="77777777" w:rsidR="00645196" w:rsidRPr="004A3B54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8DB23" w14:textId="77777777" w:rsidR="00645196" w:rsidRPr="00D3057D" w:rsidRDefault="004A3B54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утверждения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закупки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неурегулированных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требований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C0BB171" w14:textId="77777777" w:rsidR="00645196" w:rsidRPr="00D3057D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существенное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14:paraId="67A33342" w14:textId="77777777" w:rsidR="00645196" w:rsidRPr="00D3057D" w:rsidRDefault="00645196" w:rsidP="00856E6C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обязательствам, за которые отвечает контрагент;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F26AE0" w14:textId="77777777" w:rsidR="00645196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0FB15E6" w14:textId="77777777"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40293" w14:textId="77777777"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3C26F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6C7B6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6022889A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661A3" w14:textId="77777777" w:rsidR="00645196" w:rsidRPr="004A3B54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C9CB5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В случае не предвиденных обстоятельств на конкретной скважине </w:t>
            </w:r>
            <w:r>
              <w:rPr>
                <w:rFonts w:ascii="Times New Roman" w:hAnsi="Times New Roman"/>
                <w:sz w:val="20"/>
                <w:szCs w:val="20"/>
              </w:rPr>
              <w:t>Участник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обеспечивает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присутствие на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объекте компетентного инженера-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эксперта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49436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6A7E4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3D295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14:paraId="08ECE47B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F5A22" w14:textId="77777777" w:rsidR="00645196" w:rsidRPr="004A3B54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8A31" w14:textId="77777777" w:rsidR="00645196" w:rsidRPr="00563151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F4A59" w14:textId="77777777" w:rsidR="00645196" w:rsidRPr="00563151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41C49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E0258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14:paraId="304BC48A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05F590" w14:textId="77777777" w:rsidR="00645196" w:rsidRPr="00E13DFE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A559B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договора добровольного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страхования от несчастных случаев для работников, которые будут привлечены для исполнения договора, со страховой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суммой не менее 400 тыс. рублей, согласно условиям проекта договора, на следующие риски:</w:t>
            </w:r>
          </w:p>
          <w:p w14:paraId="1FA2C8F2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14:paraId="4303A7C8" w14:textId="77777777" w:rsidR="00645196" w:rsidRPr="00A318C0" w:rsidRDefault="00645196" w:rsidP="00856E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88283" w14:textId="77777777" w:rsidR="00645196" w:rsidRPr="00A318C0" w:rsidRDefault="00645196" w:rsidP="00856E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3DA25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48F56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5A523476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BFA3FE" w14:textId="77777777" w:rsidR="00645196" w:rsidRPr="004A3B54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33A84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89B5E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D2E95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0BDE7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479143D0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38223" w14:textId="77777777" w:rsidR="00645196" w:rsidRPr="004A3B54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44870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техническому и технологическому сопровождению долотного сервиса и сервиса ВЗД </w:t>
            </w:r>
            <w:r w:rsidR="00A21564"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>менее 5-т лет за последние 5 лет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BD4B8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C5D20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D7D00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6B586B23" w14:textId="77777777" w:rsidTr="00DB7CCE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E36219" w14:textId="77777777" w:rsidR="00645196" w:rsidRPr="004A3B54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72342" w14:textId="77777777" w:rsidR="00645196" w:rsidRPr="004A3B54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 xml:space="preserve">100% постоянного производственного персонала, включая ИТР и рабочих, необходимых для оказания данного вида услуг (не менее </w:t>
            </w:r>
            <w:r w:rsidR="004A3B54" w:rsidRPr="004A3B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 xml:space="preserve"> инженеров по Комплексу услуг по техническому и технологическому сопровождению долотного сервиса и сервиса ВЗД), с подтверждением необходимого образования и стажа работ в данном направлении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09470" w14:textId="77777777"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B5119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2FFB3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1F35876D" w14:textId="77777777" w:rsidTr="00DB7CCE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31A52" w14:textId="77777777" w:rsidR="00645196" w:rsidRPr="004A3B54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59854" w14:textId="77777777" w:rsidR="00645196" w:rsidRPr="004A3B54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Готовность направить одновременно не менее 1 специалист</w:t>
            </w:r>
            <w:r w:rsidR="007F0766" w:rsidRPr="004A3B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 xml:space="preserve"> для оказания услуг по долотному сервису и ВЗД на объекты Заказчика (вахтовый метод работы)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18E81" w14:textId="77777777"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4C959" w14:textId="77777777" w:rsidR="00645196" w:rsidRPr="004A3B54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D370B" w14:textId="77777777" w:rsidR="00645196" w:rsidRPr="004A3B54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49AE630C" w14:textId="77777777" w:rsidTr="00DB7CCE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91FAF" w14:textId="77777777" w:rsidR="00645196" w:rsidRPr="004A3B54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17A88" w14:textId="77777777" w:rsidR="00645196" w:rsidRPr="004A3B54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Наличие у Исполнителя квалифицированного персонала по сопровождению:</w:t>
            </w:r>
          </w:p>
          <w:p w14:paraId="2AA673D9" w14:textId="77777777" w:rsidR="00645196" w:rsidRPr="004A3B54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Координатор проекта 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EB70766" w14:textId="77777777" w:rsidR="00645196" w:rsidRPr="004A3B54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Инженер-технолог по техническому и технологическому сопровождению долотного сервиса и сервиса ВЗД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9466B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394255" w:rsidRPr="004A3B54"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3BD67" w14:textId="77777777"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60118" w14:textId="77777777" w:rsidR="00645196" w:rsidRPr="004A3B5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4C60A" w14:textId="77777777" w:rsidR="00645196" w:rsidRPr="004A3B5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739B8C0D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1A8F0A" w14:textId="77777777" w:rsidR="00645196" w:rsidRPr="004A3B54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E37A5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97395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3EF45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F2997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14:paraId="323D7658" w14:textId="77777777" w:rsidTr="00DB7CCE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8B4DA" w14:textId="77777777" w:rsidR="00645196" w:rsidRPr="004A3B54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ED8DA" w14:textId="77777777" w:rsidR="00645196" w:rsidRPr="00C31331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комплекта оборудования в установленный срок</w:t>
            </w:r>
            <w:r w:rsidR="00C31331" w:rsidRPr="00C31331">
              <w:rPr>
                <w:rFonts w:ascii="Times New Roman" w:hAnsi="Times New Roman"/>
                <w:sz w:val="20"/>
                <w:szCs w:val="20"/>
              </w:rPr>
              <w:t>, а также запасного (резервного) комплекта на все предоставляемое оборудование для безостановочного бурения скважины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1EBE0" w14:textId="77777777" w:rsidR="00645196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2D18F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E24FB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14:paraId="7AF1DA8B" w14:textId="77777777" w:rsidR="00F250A3" w:rsidRPr="00A318C0" w:rsidRDefault="00F250A3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B59F8C3" w14:textId="77777777" w:rsidR="00A12C01" w:rsidRPr="00AD271F" w:rsidRDefault="00A12C01" w:rsidP="00A12C01">
      <w:pPr>
        <w:pStyle w:val="ConsPlusNormal"/>
        <w:widowControl/>
        <w:ind w:firstLine="0"/>
        <w:jc w:val="both"/>
      </w:pPr>
      <w:r w:rsidRPr="00AD271F">
        <w:t>Приложение 1. Техническое задание.</w:t>
      </w:r>
    </w:p>
    <w:p w14:paraId="35A92AD4" w14:textId="77777777" w:rsidR="00A12C01" w:rsidRPr="00AD271F" w:rsidRDefault="00A12C01" w:rsidP="00A12C01">
      <w:pPr>
        <w:pStyle w:val="ConsPlusNormal"/>
        <w:widowControl/>
        <w:ind w:firstLine="0"/>
        <w:jc w:val="both"/>
      </w:pPr>
    </w:p>
    <w:p w14:paraId="35DCE6A0" w14:textId="77777777" w:rsidR="00856E6C" w:rsidRDefault="00856E6C" w:rsidP="00A12C01">
      <w:pPr>
        <w:pStyle w:val="ConsPlusNormal"/>
        <w:widowControl/>
        <w:ind w:firstLine="0"/>
        <w:jc w:val="both"/>
        <w:rPr>
          <w:b/>
        </w:rPr>
      </w:pPr>
    </w:p>
    <w:p w14:paraId="76885945" w14:textId="77777777" w:rsidR="00A12C01" w:rsidRPr="00856E6C" w:rsidRDefault="00A12C01" w:rsidP="00A12C01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14:paraId="67D5A167" w14:textId="77777777"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14:paraId="0FEAE631" w14:textId="77777777" w:rsidTr="002E57E3">
        <w:tc>
          <w:tcPr>
            <w:tcW w:w="3254" w:type="dxa"/>
            <w:vAlign w:val="bottom"/>
          </w:tcPr>
          <w:p w14:paraId="099DD7A5" w14:textId="77777777"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14:paraId="076685A6" w14:textId="77777777"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14:paraId="0321E755" w14:textId="77777777"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14:paraId="46B459EE" w14:textId="77777777" w:rsidR="00296EC8" w:rsidRPr="00AD271F" w:rsidRDefault="00AF41F2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F5690" w:rsidRPr="00AD271F">
              <w:rPr>
                <w:rFonts w:ascii="Times New Roman" w:hAnsi="Times New Roman" w:cs="Times New Roman"/>
              </w:rPr>
              <w:t>____»</w:t>
            </w:r>
            <w:r>
              <w:rPr>
                <w:rFonts w:ascii="Times New Roman" w:hAnsi="Times New Roman" w:cs="Times New Roman"/>
              </w:rPr>
              <w:t xml:space="preserve"> _________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CC7BC8">
              <w:rPr>
                <w:rFonts w:ascii="Times New Roman" w:hAnsi="Times New Roman" w:cs="Times New Roman"/>
              </w:rPr>
              <w:t>4</w:t>
            </w:r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418DB167" w14:textId="77777777"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B9180" w14:textId="77777777" w:rsidR="006B21CB" w:rsidRDefault="006B21CB" w:rsidP="005A2B25">
      <w:pPr>
        <w:spacing w:after="0" w:line="240" w:lineRule="auto"/>
      </w:pPr>
      <w:r>
        <w:separator/>
      </w:r>
    </w:p>
  </w:endnote>
  <w:endnote w:type="continuationSeparator" w:id="0">
    <w:p w14:paraId="5FB301D6" w14:textId="77777777" w:rsidR="006B21CB" w:rsidRDefault="006B21CB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BA0D2" w14:textId="77777777" w:rsidR="006B21CB" w:rsidRDefault="006B21CB" w:rsidP="005A2B25">
      <w:pPr>
        <w:spacing w:after="0" w:line="240" w:lineRule="auto"/>
      </w:pPr>
      <w:r>
        <w:separator/>
      </w:r>
    </w:p>
  </w:footnote>
  <w:footnote w:type="continuationSeparator" w:id="0">
    <w:p w14:paraId="0D32935B" w14:textId="77777777" w:rsidR="006B21CB" w:rsidRDefault="006B21CB" w:rsidP="005A2B25">
      <w:pPr>
        <w:spacing w:after="0" w:line="240" w:lineRule="auto"/>
      </w:pPr>
      <w:r>
        <w:continuationSeparator/>
      </w:r>
    </w:p>
  </w:footnote>
  <w:footnote w:id="1">
    <w:p w14:paraId="05032EF0" w14:textId="77777777"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4732B"/>
    <w:rsid w:val="00050D24"/>
    <w:rsid w:val="00052D14"/>
    <w:rsid w:val="00093D9C"/>
    <w:rsid w:val="000C6E29"/>
    <w:rsid w:val="000F2D31"/>
    <w:rsid w:val="000F525C"/>
    <w:rsid w:val="000F5E5A"/>
    <w:rsid w:val="00127ABD"/>
    <w:rsid w:val="00165713"/>
    <w:rsid w:val="00173701"/>
    <w:rsid w:val="001B4C0E"/>
    <w:rsid w:val="001C2EB3"/>
    <w:rsid w:val="001C5E9D"/>
    <w:rsid w:val="001D7E3E"/>
    <w:rsid w:val="001E10E3"/>
    <w:rsid w:val="001F2970"/>
    <w:rsid w:val="001F7C82"/>
    <w:rsid w:val="00204B01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4BD1"/>
    <w:rsid w:val="00333FE2"/>
    <w:rsid w:val="003549EB"/>
    <w:rsid w:val="00363A60"/>
    <w:rsid w:val="00374BA7"/>
    <w:rsid w:val="00380DBF"/>
    <w:rsid w:val="0039170B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772B4"/>
    <w:rsid w:val="004814C9"/>
    <w:rsid w:val="004835FE"/>
    <w:rsid w:val="00487BD2"/>
    <w:rsid w:val="0049182C"/>
    <w:rsid w:val="0049466B"/>
    <w:rsid w:val="004A3B54"/>
    <w:rsid w:val="00536B62"/>
    <w:rsid w:val="005426BB"/>
    <w:rsid w:val="00566F4A"/>
    <w:rsid w:val="00567AF1"/>
    <w:rsid w:val="005855B2"/>
    <w:rsid w:val="005971E3"/>
    <w:rsid w:val="005A2B25"/>
    <w:rsid w:val="005B0078"/>
    <w:rsid w:val="006061E4"/>
    <w:rsid w:val="00645196"/>
    <w:rsid w:val="0066423C"/>
    <w:rsid w:val="00667DB3"/>
    <w:rsid w:val="006A3FD0"/>
    <w:rsid w:val="006B21CB"/>
    <w:rsid w:val="006B6E1C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5448"/>
    <w:rsid w:val="007F0766"/>
    <w:rsid w:val="007F5690"/>
    <w:rsid w:val="008031FC"/>
    <w:rsid w:val="00806C3C"/>
    <w:rsid w:val="00807FD3"/>
    <w:rsid w:val="0081207E"/>
    <w:rsid w:val="008129EA"/>
    <w:rsid w:val="008244CE"/>
    <w:rsid w:val="00826D46"/>
    <w:rsid w:val="00826E83"/>
    <w:rsid w:val="00840027"/>
    <w:rsid w:val="00856E6C"/>
    <w:rsid w:val="00860F43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26CBE"/>
    <w:rsid w:val="00933218"/>
    <w:rsid w:val="00951AB3"/>
    <w:rsid w:val="009527BD"/>
    <w:rsid w:val="00954335"/>
    <w:rsid w:val="0098521B"/>
    <w:rsid w:val="00987F18"/>
    <w:rsid w:val="009A551D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667E2"/>
    <w:rsid w:val="00A8137A"/>
    <w:rsid w:val="00A93881"/>
    <w:rsid w:val="00A94D86"/>
    <w:rsid w:val="00A95E04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49B2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863EF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50599"/>
    <w:rsid w:val="00D57760"/>
    <w:rsid w:val="00D75D63"/>
    <w:rsid w:val="00D77553"/>
    <w:rsid w:val="00D80BDF"/>
    <w:rsid w:val="00DA5FCC"/>
    <w:rsid w:val="00DA72CC"/>
    <w:rsid w:val="00DB7CCE"/>
    <w:rsid w:val="00DC22DA"/>
    <w:rsid w:val="00DF6454"/>
    <w:rsid w:val="00E00FF1"/>
    <w:rsid w:val="00E13DFE"/>
    <w:rsid w:val="00E30769"/>
    <w:rsid w:val="00E346D2"/>
    <w:rsid w:val="00E45866"/>
    <w:rsid w:val="00E51383"/>
    <w:rsid w:val="00E51B06"/>
    <w:rsid w:val="00E531E9"/>
    <w:rsid w:val="00E7373A"/>
    <w:rsid w:val="00E83ABE"/>
    <w:rsid w:val="00EA5B95"/>
    <w:rsid w:val="00EB1FC1"/>
    <w:rsid w:val="00ED6166"/>
    <w:rsid w:val="00EE5002"/>
    <w:rsid w:val="00EF4644"/>
    <w:rsid w:val="00F00AB4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2B0D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553DF-56D6-45CD-869E-D518AEED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Коровин Александр Владимирович</cp:lastModifiedBy>
  <cp:revision>77</cp:revision>
  <cp:lastPrinted>2024-11-13T06:27:00Z</cp:lastPrinted>
  <dcterms:created xsi:type="dcterms:W3CDTF">2020-10-07T03:48:00Z</dcterms:created>
  <dcterms:modified xsi:type="dcterms:W3CDTF">2024-12-08T14:26:00Z</dcterms:modified>
</cp:coreProperties>
</file>