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034A72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034A72" w:rsidRDefault="00034A72" w:rsidP="00034A72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5F2C1C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5F2C1C">
              <w:rPr>
                <w:rFonts w:ascii="Arial" w:hAnsi="Arial"/>
                <w:b/>
              </w:rPr>
              <w:t xml:space="preserve"> ЗДАНИЯ МОБИЛЬНОГО </w:t>
            </w:r>
            <w:r w:rsidR="005F2C1C">
              <w:rPr>
                <w:rFonts w:ascii="Arial" w:hAnsi="Arial"/>
                <w:b/>
              </w:rPr>
              <w:br/>
              <w:t>«СУШИЛКА» (ВАГОН-ДОМ)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034A7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034A72">
              <w:rPr>
                <w:rFonts w:ascii="Arial" w:hAnsi="Arial" w:cs="Arial"/>
                <w:b/>
                <w:caps/>
              </w:rPr>
              <w:t>П3-05 И-0052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75EE4">
      <w:pPr>
        <w:jc w:val="both"/>
      </w:pPr>
    </w:p>
    <w:p w:rsidR="00CE6945" w:rsidRDefault="00CE6945" w:rsidP="00CE6945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E6945" w:rsidP="00CE6945">
      <w:pPr>
        <w:jc w:val="center"/>
      </w:pPr>
      <w:r>
        <w:rPr>
          <w:bCs/>
        </w:rPr>
        <w:t>от 10.09.2018 №809)</w:t>
      </w:r>
    </w:p>
    <w:p w:rsidR="00BB7600" w:rsidRDefault="00BB760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BB7600" w:rsidP="007E6A8A">
      <w:pPr>
        <w:jc w:val="center"/>
      </w:pPr>
      <w:r>
        <w:rPr>
          <w:bCs/>
        </w:rPr>
        <w:t>от 19.06.2020 №798)</w:t>
      </w:r>
    </w:p>
    <w:p w:rsidR="00E70701" w:rsidRDefault="00E70701" w:rsidP="007E6A8A">
      <w:pPr>
        <w:jc w:val="center"/>
      </w:pPr>
    </w:p>
    <w:p w:rsidR="00D8230B" w:rsidRDefault="00D8230B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524438033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:rsidR="005D15EE" w:rsidRDefault="004A4125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b w:val="0"/>
          <w:bCs w:val="0"/>
          <w:caps w:val="0"/>
          <w:highlight w:val="cyan"/>
        </w:rPr>
        <w:fldChar w:fldCharType="begin"/>
      </w:r>
      <w:r>
        <w:rPr>
          <w:b w:val="0"/>
          <w:bCs w:val="0"/>
          <w:caps w:val="0"/>
          <w:highlight w:val="cyan"/>
        </w:rPr>
        <w:instrText xml:space="preserve"> TOC \o "1-3" \h \z \u </w:instrText>
      </w:r>
      <w:r>
        <w:rPr>
          <w:b w:val="0"/>
          <w:bCs w:val="0"/>
          <w:caps w:val="0"/>
          <w:highlight w:val="cyan"/>
        </w:rPr>
        <w:fldChar w:fldCharType="separate"/>
      </w:r>
      <w:hyperlink w:anchor="_Toc524438033" w:history="1"/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4" w:history="1">
        <w:r w:rsidR="005D15EE" w:rsidRPr="00BE0E14">
          <w:rPr>
            <w:rStyle w:val="ac"/>
          </w:rPr>
          <w:t>ВВОДНЫЕ ПОЛОЖЕНИЯ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_Toc524438034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3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22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5" w:history="1">
        <w:r w:rsidR="005D15EE" w:rsidRPr="00BE0E14">
          <w:rPr>
            <w:rStyle w:val="ac"/>
          </w:rPr>
          <w:t>НАЗНАЧЕНИЕ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_Toc524438035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3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6" w:history="1">
        <w:r w:rsidR="005D15EE" w:rsidRPr="00BE0E14">
          <w:rPr>
            <w:rStyle w:val="ac"/>
          </w:rPr>
          <w:t>Область действия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_Toc524438036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3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7" w:history="1">
        <w:r w:rsidR="005D15EE" w:rsidRPr="00BE0E14">
          <w:rPr>
            <w:rStyle w:val="ac"/>
          </w:rPr>
          <w:t>Период действия и порядок внесения изменений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_Toc524438037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3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8" w:history="1">
        <w:r w:rsidR="005D15EE" w:rsidRPr="00BE0E14">
          <w:rPr>
            <w:rStyle w:val="ac"/>
          </w:rPr>
          <w:t>1.</w:t>
        </w:r>
        <w:r w:rsidR="005D15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5D15EE" w:rsidRPr="00BE0E14">
          <w:rPr>
            <w:rStyle w:val="ac"/>
          </w:rPr>
          <w:t>ОБОЗНАЧЕНИЯ И СОКРАЩЕНИЯ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_Toc524438038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4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39" w:history="1">
        <w:r w:rsidR="005D15EE" w:rsidRPr="00BE0E14">
          <w:rPr>
            <w:rStyle w:val="ac"/>
          </w:rPr>
          <w:t>2.</w:t>
        </w:r>
        <w:r w:rsidR="005D15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5D15EE" w:rsidRPr="00BE0E14">
          <w:rPr>
            <w:rStyle w:val="ac"/>
          </w:rPr>
          <w:t>ОБЩИЕ ПОЛОЖЕНИЯ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_Toc524438039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5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0" w:history="1">
        <w:r w:rsidR="005D15EE" w:rsidRPr="00BE0E14">
          <w:rPr>
            <w:rStyle w:val="ac"/>
          </w:rPr>
          <w:t>3.</w:t>
        </w:r>
        <w:r w:rsidR="005D15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5D15EE" w:rsidRPr="00BE0E14">
          <w:rPr>
            <w:rStyle w:val="ac"/>
          </w:rPr>
          <w:t>ПОРЯДОК СОДЕРЖАНИЯ ТЕРРИТОРИИ, ЗДАНИЙ, СООРУЖЕНИЙ И ПОМЕЩЕНИЙ, В ТОМ ЧИСЛЕ ЭВАКУАЦИОННЫХ ПУТЕЙ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_Toc524438040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6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1" w:history="1">
        <w:r w:rsidR="005D15EE" w:rsidRPr="00BE0E14">
          <w:rPr>
            <w:rStyle w:val="ac"/>
          </w:rPr>
          <w:t>4.</w:t>
        </w:r>
        <w:r w:rsidR="005D15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5D15EE" w:rsidRPr="00BE0E14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_Toc524438041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8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2" w:history="1">
        <w:r w:rsidR="005D15EE" w:rsidRPr="00BE0E14">
          <w:rPr>
            <w:rStyle w:val="ac"/>
          </w:rPr>
          <w:t>5.</w:t>
        </w:r>
        <w:r w:rsidR="005D15E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 xml:space="preserve"> </w:t>
        </w:r>
        <w:r w:rsidR="005D15EE" w:rsidRPr="00BE0E14">
          <w:rPr>
            <w:rStyle w:val="ac"/>
          </w:rPr>
          <w:t>ПОРЯДОК И НОРМЫ ХРАНЕНИЯ ПОЖАРООПАСНЫХ ВЕЩЕСТВ И МАТЕРИАЛОВ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_Toc524438042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9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3" w:history="1">
        <w:r w:rsidR="005D15EE" w:rsidRPr="00BE0E14">
          <w:rPr>
            <w:rStyle w:val="ac"/>
          </w:rPr>
          <w:t>6. ПОРЯДОК ОСМОТРА И ЗАКРЫТИЯ ПОМЕЩЕНИЙ ПО ОКОНЧАНИИ РАБОТ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_Toc524438043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10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4" w:history="1">
        <w:r w:rsidR="005D15EE" w:rsidRPr="00BE0E14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_Toc524438044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11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5" w:history="1">
        <w:r w:rsidR="005D15EE" w:rsidRPr="00BE0E14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_Toc524438045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12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6" w:history="1">
        <w:r w:rsidR="005D15EE" w:rsidRPr="00BE0E14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_Toc524438046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13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7" w:history="1">
        <w:r w:rsidR="005D15EE" w:rsidRPr="00BE0E14">
          <w:rPr>
            <w:rStyle w:val="ac"/>
          </w:rPr>
          <w:t>10. ПОРЯДОК И ПЕРИОДИЧНОСТЬ УБОРКИ ГОРЮЧИХ ОТХОДОВ И ПЫЛИ, ХРАНЕНИЯ ПРОМАСЛЕННОЙ СПЕЦОДЕЖДЫ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_Toc524438047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14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8" w:history="1">
        <w:r w:rsidR="005D15EE" w:rsidRPr="00BE0E14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_Toc524438048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15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49" w:history="1">
        <w:r w:rsidR="005D15EE" w:rsidRPr="00BE0E14">
          <w:rPr>
            <w:rStyle w:val="ac"/>
          </w:rPr>
          <w:t>12. 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_Toc524438049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16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50" w:history="1">
        <w:r w:rsidR="005D15EE" w:rsidRPr="00BE0E14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_Toc524438050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17</w:t>
        </w:r>
        <w:r w:rsidR="005D15EE">
          <w:rPr>
            <w:webHidden/>
          </w:rPr>
          <w:fldChar w:fldCharType="end"/>
        </w:r>
      </w:hyperlink>
    </w:p>
    <w:p w:rsidR="005D15EE" w:rsidRDefault="00C27393" w:rsidP="005D15EE">
      <w:pPr>
        <w:pStyle w:val="11"/>
        <w:ind w:left="0" w:firstLine="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8051" w:history="1">
        <w:r w:rsidR="005D15EE" w:rsidRPr="00BE0E14">
          <w:rPr>
            <w:rStyle w:val="ac"/>
          </w:rPr>
          <w:t>14. ЛИЦА, ОТВЕТСТВЕННЫЕ ЗА ОБЕСПЕЧЕНИЕ ПОЖАРНОЙ БЕЗОПАСНОСТИ</w:t>
        </w:r>
        <w:r w:rsidR="005D15EE">
          <w:rPr>
            <w:webHidden/>
          </w:rPr>
          <w:tab/>
        </w:r>
        <w:r w:rsidR="005D15EE">
          <w:rPr>
            <w:webHidden/>
          </w:rPr>
          <w:fldChar w:fldCharType="begin"/>
        </w:r>
        <w:r w:rsidR="005D15EE">
          <w:rPr>
            <w:webHidden/>
          </w:rPr>
          <w:instrText xml:space="preserve"> PAGEREF _Toc524438051 \h </w:instrText>
        </w:r>
        <w:r w:rsidR="005D15EE">
          <w:rPr>
            <w:webHidden/>
          </w:rPr>
        </w:r>
        <w:r w:rsidR="005D15EE">
          <w:rPr>
            <w:webHidden/>
          </w:rPr>
          <w:fldChar w:fldCharType="separate"/>
        </w:r>
        <w:r w:rsidR="005D15EE">
          <w:rPr>
            <w:webHidden/>
          </w:rPr>
          <w:t>18</w:t>
        </w:r>
        <w:r w:rsidR="005D15EE">
          <w:rPr>
            <w:webHidden/>
          </w:rPr>
          <w:fldChar w:fldCharType="end"/>
        </w:r>
      </w:hyperlink>
    </w:p>
    <w:p w:rsidR="00203A84" w:rsidRDefault="004A4125" w:rsidP="002E00F6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lastRenderedPageBreak/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524438034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524438035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(вагон-дом)»</w:t>
      </w:r>
      <w:r w:rsidR="00E70701" w:rsidRPr="00861FEC">
        <w:t xml:space="preserve">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</w:t>
      </w:r>
      <w:r w:rsidR="00B31003">
        <w:t xml:space="preserve"> </w:t>
      </w:r>
      <w:r w:rsidR="000341CA">
        <w:t>в целях обеспечения пожарной безопасности.</w:t>
      </w:r>
    </w:p>
    <w:p w:rsidR="00DB0792" w:rsidRDefault="00DB0792" w:rsidP="002E00F6">
      <w:pPr>
        <w:spacing w:after="12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соответствует требованиям</w:t>
      </w:r>
      <w:r w:rsidR="004A4125">
        <w:t xml:space="preserve"> </w:t>
      </w:r>
      <w:r w:rsidR="000341CA">
        <w:t>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24438036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5"/>
    </w:p>
    <w:p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7A6CFD" w:rsidRPr="00B31003">
        <w:t>здани</w:t>
      </w:r>
      <w:r w:rsidR="007A6CFD">
        <w:t>е</w:t>
      </w:r>
      <w:r w:rsidR="007A6CFD" w:rsidRPr="00B31003">
        <w:t xml:space="preserve"> мобильно</w:t>
      </w:r>
      <w:r w:rsidR="007A6CFD">
        <w:t>е</w:t>
      </w:r>
      <w:r w:rsidR="007A6CFD" w:rsidRPr="00B31003">
        <w:t xml:space="preserve"> «</w:t>
      </w:r>
      <w:r w:rsidR="007A6CFD">
        <w:t>С</w:t>
      </w:r>
      <w:r w:rsidR="007A6CFD" w:rsidRPr="00B31003">
        <w:t>ушилка» (вагон-дом)</w:t>
      </w:r>
      <w:r w:rsidRPr="00861FEC">
        <w:t>.</w:t>
      </w:r>
    </w:p>
    <w:p w:rsidR="00FF2B44" w:rsidRPr="00861FEC" w:rsidRDefault="00FF2B44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:rsidR="007B726B" w:rsidRPr="00861FEC" w:rsidRDefault="007B726B" w:rsidP="007B726B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7A6CFD" w:rsidRPr="00B31003">
        <w:t>здания мобильного «</w:t>
      </w:r>
      <w:r w:rsidR="007A6CFD">
        <w:t>С</w:t>
      </w:r>
      <w:r w:rsidR="007A6CFD" w:rsidRPr="00B31003">
        <w:t>ушилка» (вагон-дом)</w:t>
      </w:r>
      <w:r w:rsidRPr="00D84126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524438037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6"/>
    </w:p>
    <w:p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:rsidR="00A329F6" w:rsidRPr="00D24E55" w:rsidRDefault="00A329F6" w:rsidP="00A329F6">
      <w:pPr>
        <w:jc w:val="both"/>
      </w:pPr>
    </w:p>
    <w:p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:rsidR="00A329F6" w:rsidRPr="0025512C" w:rsidRDefault="00A329F6" w:rsidP="00A329F6">
      <w:pPr>
        <w:jc w:val="both"/>
      </w:pPr>
    </w:p>
    <w:p w:rsidR="007A6CFD" w:rsidRPr="00D74CCE" w:rsidRDefault="007A6CFD" w:rsidP="007A6CFD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FF2B44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:rsidR="00E70701" w:rsidRDefault="00E70701" w:rsidP="00FF2B44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524438038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:rsidR="00FF2B44" w:rsidRDefault="00FF2B44" w:rsidP="00FF2B44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sz w:val="20"/>
          <w:szCs w:val="20"/>
        </w:rPr>
        <w:t>ВАГОН-СУШИЛКА</w:t>
      </w:r>
      <w:r w:rsidRPr="003A1DEC">
        <w:t xml:space="preserve"> –</w:t>
      </w:r>
      <w:r>
        <w:t xml:space="preserve"> здание мобильное «Сушилка» (вагон-дом).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C067A" w:rsidRPr="001C067A" w:rsidRDefault="001C067A" w:rsidP="001C067A">
      <w:pPr>
        <w:tabs>
          <w:tab w:val="left" w:pos="900"/>
        </w:tabs>
        <w:spacing w:after="240"/>
        <w:jc w:val="both"/>
      </w:pPr>
      <w:r w:rsidRPr="001C067A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1C067A">
        <w:t>производственно-диспетчерская служба укрупненного нефтепромысла</w:t>
      </w:r>
      <w:r>
        <w:t xml:space="preserve"> ООО </w:t>
      </w:r>
      <w:r w:rsidRPr="001C067A">
        <w:t>«Славнефть-Красноярскнефтегаз».</w:t>
      </w:r>
    </w:p>
    <w:p w:rsidR="00FF2B44" w:rsidRDefault="00FF2B44" w:rsidP="00FF2B44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F2B44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88544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524438039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885446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88544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:rsidR="000440E6" w:rsidRPr="003A1DEC" w:rsidRDefault="000440E6" w:rsidP="000440E6">
      <w:pPr>
        <w:tabs>
          <w:tab w:val="left" w:pos="1134"/>
        </w:tabs>
        <w:spacing w:after="24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вагон-сушилку, или арендатора вагон-сушилки.</w:t>
      </w:r>
    </w:p>
    <w:p w:rsidR="00B84591" w:rsidRDefault="00B84591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 w:rsidR="0055313D">
        <w:t xml:space="preserve">непосредственным руководителем </w:t>
      </w:r>
      <w:r w:rsidRPr="003A1DEC">
        <w:t xml:space="preserve">к </w:t>
      </w:r>
      <w:r w:rsidR="0055313D">
        <w:t>эксплуатации</w:t>
      </w:r>
      <w:r w:rsidRPr="003A1DEC">
        <w:t xml:space="preserve"> </w:t>
      </w:r>
      <w:r w:rsidR="0055313D">
        <w:t xml:space="preserve">вагон-сушилки </w:t>
      </w:r>
      <w:r w:rsidRPr="003A1DEC">
        <w:t xml:space="preserve">только после ознакомления с настоящей </w:t>
      </w:r>
      <w:r w:rsidR="004A4125">
        <w:t>И</w:t>
      </w:r>
      <w:r w:rsidR="004A4125" w:rsidRPr="003A1DEC">
        <w:t xml:space="preserve">нструкцией </w:t>
      </w:r>
      <w:r w:rsidRPr="003A1DEC">
        <w:t xml:space="preserve">под </w:t>
      </w:r>
      <w:r w:rsidR="004A4125"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5313D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вагон-сушилку, или арендатор вагон-сушилки обязан</w:t>
      </w:r>
      <w:r w:rsidR="00B84591"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5313D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88544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524438040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885446">
        <w:rPr>
          <w:rFonts w:ascii="Arial" w:hAnsi="Arial" w:cs="Arial"/>
          <w:caps/>
          <w:sz w:val="32"/>
          <w:szCs w:val="32"/>
          <w:lang w:val="ru-RU"/>
        </w:rPr>
        <w:tab/>
      </w:r>
      <w:bookmarkStart w:id="29" w:name="_Toc476642279"/>
      <w:r w:rsidR="00C324E8" w:rsidRPr="00885446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В ТОМ ЧИСЛЕ ЭВАКУАЦИОННЫХ ПУТЕЙ</w:t>
      </w:r>
      <w:bookmarkEnd w:id="28"/>
      <w:bookmarkEnd w:id="29"/>
    </w:p>
    <w:p w:rsidR="00EA774C" w:rsidRDefault="00EA774C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вагон-сушилке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9E75B7">
        <w:t>сушилке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9E75B7">
        <w:t>сушилки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9E75B7">
        <w:t>сушилки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</w:t>
      </w:r>
      <w:r w:rsidR="00E373EA">
        <w:t xml:space="preserve"> </w:t>
      </w:r>
      <w:r>
        <w:t>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системы оповещения и управления эвакуацией);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FF2B44" w:rsidRDefault="00FF2B44" w:rsidP="00E373EA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>
        <w:t>.</w:t>
      </w:r>
    </w:p>
    <w:p w:rsidR="00C324E8" w:rsidRDefault="00C324E8" w:rsidP="00FF2B44">
      <w:pPr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пороги на путях эвакуации (за исключением порогов в дверных проемах);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загромождать эвакуационные пути и выходы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:rsidR="00C324E8" w:rsidRDefault="009E75B7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хранить</w:t>
      </w:r>
      <w:r w:rsidR="00C324E8">
        <w:t xml:space="preserve"> в тамбурах выходов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lastRenderedPageBreak/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эксплуатировать электропровода и кабели с видимыми нарушениями изоляции;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применять нестандартные (самодельные) электронагревательные приборы;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>Эвакуационное освещение должно включаться автоматически при прекращении электропитания рабочего освещения.</w:t>
      </w:r>
    </w:p>
    <w:p w:rsidR="00C324E8" w:rsidRPr="00E373EA" w:rsidRDefault="00EA774C" w:rsidP="00C324E8">
      <w:pPr>
        <w:spacing w:after="240"/>
        <w:jc w:val="both"/>
        <w:textAlignment w:val="baseline"/>
        <w:rPr>
          <w:rFonts w:cs="Tahoma"/>
        </w:rPr>
      </w:pPr>
      <w:r>
        <w:rPr>
          <w:rFonts w:cs="Tahoma"/>
        </w:rPr>
        <w:t xml:space="preserve">На дверях </w:t>
      </w:r>
      <w:r w:rsidRPr="00E373EA">
        <w:rPr>
          <w:rFonts w:cs="Tahoma"/>
        </w:rPr>
        <w:t>всех производственных и складских помещений должн</w:t>
      </w:r>
      <w:r>
        <w:rPr>
          <w:rFonts w:cs="Tahoma"/>
        </w:rPr>
        <w:t>ы</w:t>
      </w:r>
      <w:r w:rsidRPr="00E373EA">
        <w:rPr>
          <w:rFonts w:cs="Tahoma"/>
        </w:rPr>
        <w:t xml:space="preserve"> быть </w:t>
      </w:r>
      <w:r>
        <w:rPr>
          <w:rFonts w:cs="Tahoma"/>
        </w:rPr>
        <w:t>размещены</w:t>
      </w:r>
      <w:r w:rsidRPr="00E373EA">
        <w:rPr>
          <w:rFonts w:cs="Tahoma"/>
        </w:rPr>
        <w:t xml:space="preserve"> </w:t>
      </w:r>
      <w:r>
        <w:rPr>
          <w:rFonts w:cs="Tahoma"/>
        </w:rPr>
        <w:t xml:space="preserve">обозначения </w:t>
      </w:r>
      <w:r w:rsidRPr="00E373EA">
        <w:rPr>
          <w:rFonts w:cs="Tahoma"/>
        </w:rPr>
        <w:t>категори</w:t>
      </w:r>
      <w:r>
        <w:rPr>
          <w:rFonts w:cs="Tahoma"/>
        </w:rPr>
        <w:t>й</w:t>
      </w:r>
      <w:r w:rsidRPr="00E373EA">
        <w:rPr>
          <w:rFonts w:cs="Tahoma"/>
        </w:rPr>
        <w:t xml:space="preserve"> по взрывопожарной и пожарной опасности, а также класс</w:t>
      </w:r>
      <w:r>
        <w:rPr>
          <w:rFonts w:cs="Tahoma"/>
        </w:rPr>
        <w:t>ов</w:t>
      </w:r>
      <w:r w:rsidRPr="00E373EA">
        <w:rPr>
          <w:rFonts w:cs="Tahoma"/>
        </w:rPr>
        <w:t xml:space="preserve"> зон.</w:t>
      </w:r>
    </w:p>
    <w:p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производственных, административных, складских и вспомогательных помещениях 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:rsidR="000C127F" w:rsidRPr="0088544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524438041"/>
      <w:bookmarkEnd w:id="25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88544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30"/>
    </w:p>
    <w:p w:rsidR="00EA774C" w:rsidRPr="00867AEB" w:rsidRDefault="00EA774C" w:rsidP="00EA774C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</w:t>
      </w:r>
      <w:r w:rsidR="004B3607">
        <w:t>сушилке</w:t>
      </w:r>
      <w:r>
        <w:t xml:space="preserve">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EA774C" w:rsidP="00EA774C">
      <w:pPr>
        <w:tabs>
          <w:tab w:val="left" w:pos="0"/>
        </w:tabs>
        <w:spacing w:after="240"/>
        <w:jc w:val="both"/>
      </w:pPr>
      <w:r>
        <w:t>Пожароопасные технологические процессы на объекте отсутствуют</w:t>
      </w:r>
      <w:r w:rsidR="008E52D3">
        <w:t>.</w:t>
      </w:r>
    </w:p>
    <w:p w:rsidR="00EA774C" w:rsidRPr="00EA774C" w:rsidRDefault="00EA774C" w:rsidP="00EA774C">
      <w:pPr>
        <w:tabs>
          <w:tab w:val="left" w:pos="0"/>
        </w:tabs>
        <w:spacing w:after="240"/>
        <w:jc w:val="both"/>
        <w:sectPr w:rsidR="00EA774C" w:rsidRPr="00EA774C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D32AB" w:rsidRPr="0088544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524438042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9D32AB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ПОЖАРООПАСНЫХ ВЕЩЕСТВ И МАТЕРИАЛОВ</w:t>
      </w:r>
      <w:bookmarkEnd w:id="31"/>
    </w:p>
    <w:p w:rsidR="0087253E" w:rsidRDefault="009E1911" w:rsidP="009E1911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Вагон-сушилка предназначен для </w:t>
      </w:r>
      <w:r w:rsidRPr="009E1911">
        <w:t>просушивания спецодежды</w:t>
      </w:r>
      <w:r w:rsidR="00C465CF">
        <w:t xml:space="preserve"> и обуви</w:t>
      </w:r>
      <w:r>
        <w:t xml:space="preserve"> работников ООО «Славнефть-Красноярскнефтегаз».</w:t>
      </w:r>
      <w:r w:rsidRPr="009E1911">
        <w:t xml:space="preserve"> </w:t>
      </w:r>
      <w:r w:rsidR="009D32AB">
        <w:t xml:space="preserve">Хранение </w:t>
      </w:r>
      <w:r>
        <w:t>в вагон-сушилке иных горючих</w:t>
      </w:r>
      <w:r w:rsidR="009D32AB" w:rsidRPr="00FF7AD7">
        <w:t xml:space="preserve"> веществ и материалов запрещается</w:t>
      </w:r>
      <w:r>
        <w:t>.</w:t>
      </w:r>
    </w:p>
    <w:p w:rsidR="00947FAE" w:rsidRPr="0088544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524438043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2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B77FA4" w:rsidRPr="00A604D5">
        <w:t>лицом</w:t>
      </w:r>
      <w:r w:rsidR="00B77FA4">
        <w:t>, назначенным в установленном порядке ответственным за противопожарное состояние</w:t>
      </w:r>
      <w:r w:rsidR="00B77FA4" w:rsidRPr="00A604D5">
        <w:t xml:space="preserve"> данно</w:t>
      </w:r>
      <w:r w:rsidR="00B77FA4">
        <w:t>го</w:t>
      </w:r>
      <w:r w:rsidR="00B77FA4" w:rsidRPr="00A604D5">
        <w:t xml:space="preserve"> помещени</w:t>
      </w:r>
      <w:r w:rsidR="00B77FA4">
        <w:t>я</w:t>
      </w:r>
      <w:r w:rsidR="00B77FA4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</w:t>
      </w:r>
      <w:r w:rsidRPr="00A604D5">
        <w:t>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 xml:space="preserve"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</w:t>
      </w:r>
      <w:r w:rsidR="00EA774C">
        <w:t>инструкцией завода-изготовителя.</w:t>
      </w:r>
    </w:p>
    <w:p w:rsidR="008F016E" w:rsidRPr="0088544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524438044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88544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3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9E75B7">
        <w:rPr>
          <w:bCs/>
        </w:rPr>
        <w:t>сушилки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1C067A" w:rsidRPr="001C067A">
        <w:rPr>
          <w:iCs/>
        </w:rPr>
        <w:t>мест для курения, требования к ним установлены приказом «Об установлении режима курения на объектах Общества».</w:t>
      </w:r>
    </w:p>
    <w:p w:rsidR="00137596" w:rsidRPr="00867AEB" w:rsidRDefault="00137596" w:rsidP="00137596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вагон-сушилки </w:t>
      </w:r>
      <w:r w:rsidRPr="00867AEB">
        <w:t>являются временными.</w:t>
      </w:r>
    </w:p>
    <w:p w:rsidR="0087253E" w:rsidRDefault="00137596" w:rsidP="00137596">
      <w:pPr>
        <w:tabs>
          <w:tab w:val="left" w:pos="0"/>
        </w:tabs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 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Pr="00867AEB">
        <w:t>В период проведения временных пожароопасных работ и после их завершения в течение 3 часов</w:t>
      </w:r>
      <w:r>
        <w:t xml:space="preserve"> ответственный руководитель</w:t>
      </w:r>
      <w:r w:rsidRPr="00867AEB">
        <w:t xml:space="preserve"> долж</w:t>
      </w:r>
      <w:r>
        <w:t>е</w:t>
      </w:r>
      <w:r w:rsidRPr="00867AEB">
        <w:t xml:space="preserve">н </w:t>
      </w:r>
      <w:r>
        <w:t>организовать кон</w:t>
      </w:r>
      <w:r w:rsidRPr="00867AEB">
        <w:t>троль мест</w:t>
      </w:r>
      <w:r>
        <w:t>а</w:t>
      </w:r>
      <w:r w:rsidRPr="00867AEB">
        <w:t xml:space="preserve"> проведения</w:t>
      </w:r>
      <w:r>
        <w:t xml:space="preserve"> работ на предмет отсутствия загорания.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524438045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4"/>
    </w:p>
    <w:p w:rsidR="009E4695" w:rsidRPr="00C9253E" w:rsidRDefault="00C465CF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вагон-сушилки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3D3709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EA774C" w:rsidRDefault="00EA774C" w:rsidP="009E4695">
      <w:pPr>
        <w:spacing w:after="240"/>
        <w:jc w:val="both"/>
        <w:sectPr w:rsidR="00EA774C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С</w:t>
      </w:r>
      <w:r w:rsidRPr="00A604D5">
        <w:t xml:space="preserve">пецодежда </w:t>
      </w:r>
      <w:r>
        <w:t>должна сушиться</w:t>
      </w:r>
      <w:r w:rsidRPr="00A604D5">
        <w:t xml:space="preserve"> в </w:t>
      </w:r>
      <w:r>
        <w:t>шкафах в подвешенном</w:t>
      </w:r>
      <w:r w:rsidRPr="00A604D5">
        <w:t xml:space="preserve"> виде</w:t>
      </w:r>
      <w:r>
        <w:t>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524438046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88544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5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>в вагон-сушилке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524438047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2B3B01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</w:t>
      </w:r>
      <w:bookmarkEnd w:id="36"/>
    </w:p>
    <w:p w:rsidR="00C465CF" w:rsidRDefault="00C465CF" w:rsidP="009E4695">
      <w:pPr>
        <w:spacing w:after="240"/>
        <w:jc w:val="both"/>
      </w:pPr>
      <w:r w:rsidRPr="00C9253E">
        <w:t>Уборку горючих отходо</w:t>
      </w:r>
      <w:r>
        <w:t>в и пыли производить ежедневно.</w:t>
      </w:r>
    </w:p>
    <w:p w:rsidR="00C465CF" w:rsidRDefault="00C465CF" w:rsidP="009E4695">
      <w:pPr>
        <w:spacing w:after="240"/>
        <w:jc w:val="both"/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C465CF" w:rsidRDefault="00C465CF" w:rsidP="009E4695">
      <w:pPr>
        <w:spacing w:after="240"/>
        <w:jc w:val="both"/>
      </w:pPr>
    </w:p>
    <w:p w:rsidR="001464A5" w:rsidRDefault="001464A5" w:rsidP="009E4695">
      <w:pPr>
        <w:spacing w:after="240"/>
        <w:jc w:val="both"/>
        <w:sectPr w:rsidR="001464A5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B3B01" w:rsidRPr="0088544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524438048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88544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7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9E75B7">
        <w:t>сушилке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88544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8" w:name="_Toc524438049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77A5D" w:rsidRPr="00885446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АВАРИЙНОЙ ОСТАНО</w:t>
      </w:r>
      <w:r w:rsidR="00F03273" w:rsidRPr="00885446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885446">
        <w:rPr>
          <w:rFonts w:ascii="Arial" w:hAnsi="Arial" w:cs="Arial"/>
          <w:color w:val="000000"/>
          <w:sz w:val="32"/>
          <w:szCs w:val="32"/>
          <w:lang w:val="ru-RU"/>
        </w:rPr>
        <w:t>КЕ ТЕХНОЛОГИЧЕСКОГО ОБОРУДОВАНИЯ, ОТКЛЮЧЕНИИ ВЕНТИЛЯЦИИ И ЭЛЕКТРООБОРУДОВАНИЯ (В ТОМ ЧИСЛЕ В СЛУЧАЕ ПОЖАРА И ПО ОКОНЧАНИИ РАБОЧЕГО ДНЯ), ПОЛЬЗО</w:t>
      </w:r>
      <w:r w:rsidR="00F03273" w:rsidRPr="00885446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885446">
        <w:rPr>
          <w:rFonts w:ascii="Arial" w:hAnsi="Arial" w:cs="Arial"/>
          <w:color w:val="000000"/>
          <w:sz w:val="32"/>
          <w:szCs w:val="32"/>
          <w:lang w:val="ru-RU"/>
        </w:rPr>
        <w:t>АНИИ СРЕДСТВАМИ ПОЖАРОТУШЕНИЯ И ПОЖАРНОЙ АВТОМАТИКИ</w:t>
      </w:r>
      <w:r w:rsidR="00F03273" w:rsidRPr="00885446">
        <w:rPr>
          <w:rFonts w:ascii="Arial" w:hAnsi="Arial" w:cs="Arial"/>
          <w:color w:val="000000"/>
          <w:sz w:val="32"/>
          <w:szCs w:val="32"/>
          <w:lang w:val="ru-RU"/>
        </w:rPr>
        <w:t>, ЭВАКУАЦИИ ГОРЮЧИХ ВЕЩЕСТВ И МАТЕРИАЛЬНЫХ ЦЕННОСТЕЙ, ОСМОТРЕ И ПРИВЕДЕНИИ В ПОЖАРОВЗРЫВОБЕЗОПАСНОЕ СОСТОЯНИЕ ВСЕХ ПОМЕЩЕНИЙ ПОДРАЗДЕЛЕНИЯ</w:t>
      </w:r>
      <w:bookmarkEnd w:id="38"/>
    </w:p>
    <w:p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FF2B44" w:rsidRDefault="00FF2B44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524438050"/>
      <w:r w:rsidRPr="00FF2B44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9"/>
    </w:p>
    <w:p w:rsidR="00FF2B44" w:rsidRPr="005D15EE" w:rsidRDefault="00FF2B44" w:rsidP="005D15EE"/>
    <w:p w:rsidR="00FF2B44" w:rsidRPr="00FF2B44" w:rsidRDefault="00FF2B44" w:rsidP="00FF2B44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F2B44">
        <w:rPr>
          <w:szCs w:val="22"/>
        </w:rPr>
        <w:t>Допустимое (предельное) количество людей, которые могут одновременно находиться в вагон-сушилке не должно превышать 5 (пять) человек.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BB7600" w:rsidRDefault="004A4125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40" w:name="_Toc524438051"/>
      <w:r w:rsidRPr="00FF2B44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</w:t>
      </w:r>
      <w:r w:rsidR="00FF2B44" w:rsidRPr="00BB7600">
        <w:rPr>
          <w:rFonts w:ascii="Arial" w:hAnsi="Arial" w:cs="Arial"/>
          <w:color w:val="000000"/>
          <w:sz w:val="32"/>
          <w:szCs w:val="32"/>
          <w:lang w:val="ru-RU"/>
        </w:rPr>
        <w:t>4</w:t>
      </w:r>
      <w:r w:rsidRPr="00FF2B44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bookmarkEnd w:id="26"/>
      <w:bookmarkEnd w:id="27"/>
      <w:r w:rsidR="00FF2B44" w:rsidRPr="00BB760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40"/>
      <w:r w:rsidR="00FF2B44" w:rsidRPr="00BB760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F2B44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вагон-сушилку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:rsidR="00FF2B44" w:rsidRDefault="00FF2B44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1C067A" w:rsidRPr="001C067A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:rsidR="00FF2B44" w:rsidRPr="00043C41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вагон-сушилку;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F2B44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F2B44" w:rsidRPr="00865100" w:rsidRDefault="00FF2B44" w:rsidP="001C067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C067A" w:rsidRPr="001C067A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вагон-сушилке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F2B44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C0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C067A" w:rsidRPr="001C067A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вагон-сушилки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F2B44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выдать пожарному расчету допуск на тушение пожара на энергетическом оборудовании, находящемся под напряжением до 0,4 </w:t>
            </w:r>
            <w:proofErr w:type="spellStart"/>
            <w:r w:rsidRPr="00865100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FF2B44" w:rsidRPr="00865100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443967" w:rsidRPr="00FF2B44" w:rsidRDefault="00443967" w:rsidP="00FF2B44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sectPr w:rsidR="00443967" w:rsidRPr="00FF2B44" w:rsidSect="0087253E">
      <w:headerReference w:type="default" r:id="rId34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15B" w:rsidRDefault="00DD115B" w:rsidP="00E70701">
      <w:r>
        <w:separator/>
      </w:r>
    </w:p>
  </w:endnote>
  <w:endnote w:type="continuationSeparator" w:id="0">
    <w:p w:rsidR="00DD115B" w:rsidRDefault="00DD115B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277471">
      <w:tc>
        <w:tcPr>
          <w:tcW w:w="9854" w:type="dxa"/>
          <w:gridSpan w:val="2"/>
          <w:tcBorders>
            <w:top w:val="single" w:sz="12" w:space="0" w:color="0070C0"/>
          </w:tcBorders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277471">
      <w:tc>
        <w:tcPr>
          <w:tcW w:w="9854" w:type="dxa"/>
          <w:gridSpan w:val="2"/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277471">
      <w:tc>
        <w:tcPr>
          <w:tcW w:w="8188" w:type="dxa"/>
        </w:tcPr>
        <w:p w:rsidR="004A4125" w:rsidRDefault="004A4125" w:rsidP="00B31003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B31003"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27393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27393"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27393" w:rsidRDefault="00C27393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:rsidR="00C27393" w:rsidRDefault="00C27393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14:56:36</w:t>
    </w:r>
  </w:p>
  <w:p w:rsidR="004A4125" w:rsidRPr="00C27393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034A72" w:rsidRDefault="00034A72" w:rsidP="00034A72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27393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C27393"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27393" w:rsidRDefault="00C27393" w:rsidP="005932AE">
    <w:pPr>
      <w:rPr>
        <w:rFonts w:ascii="Arial" w:hAnsi="Arial" w:cs="Arial"/>
        <w:b/>
        <w:color w:val="999999"/>
        <w:sz w:val="12"/>
        <w:szCs w:val="2"/>
      </w:rPr>
    </w:pPr>
  </w:p>
  <w:p w:rsidR="00C27393" w:rsidRDefault="00C27393" w:rsidP="005932AE">
    <w:pPr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14:56:36</w:t>
    </w:r>
  </w:p>
  <w:p w:rsidR="004A4125" w:rsidRPr="00C27393" w:rsidRDefault="004A4125" w:rsidP="005932AE">
    <w:pPr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15B" w:rsidRDefault="00DD115B" w:rsidP="00E70701">
      <w:r>
        <w:separator/>
      </w:r>
    </w:p>
  </w:footnote>
  <w:footnote w:type="continuationSeparator" w:id="0">
    <w:p w:rsidR="00DD115B" w:rsidRDefault="00DD115B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sz w:val="10"/>
            </w:rPr>
            <w:t xml:space="preserve">ПОРЯДОК </w:t>
          </w:r>
          <w:r w:rsidRPr="001464A5">
            <w:rPr>
              <w:rFonts w:ascii="Arial" w:hAnsi="Arial" w:cs="Arial"/>
              <w:sz w:val="10"/>
            </w:rPr>
            <w:t>СОДЕРЖАНИЯ ТЕРРИТОРИИ, ЗДАНИЙ, СООРУЖЕНИЙ И ПОМЕЩЕНИЙ, В ТОМ ЧИСЛЕ ЭВАКУАЦИОННЫХ ПУТЕЙ</w:t>
          </w:r>
        </w:p>
      </w:tc>
    </w:tr>
  </w:tbl>
  <w:p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И НОРМЫ ХРАНЕНИЯ ПОЖАРООПАСНЫХ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ПОРЯДОК И ПЕРИОДИЧНОСТЬ </w:t>
          </w:r>
          <w:r w:rsidRPr="001464A5">
            <w:rPr>
              <w:rFonts w:ascii="Arial" w:hAnsi="Arial" w:cs="Arial"/>
              <w:b/>
              <w:sz w:val="10"/>
            </w:rPr>
            <w:t>УБОРКИ ГОРЮЧИХ ОТХОДОВ И ПЫЛИ, ХРАНЕНИЯ ПРОМАСЛЕННОЙ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ОБЯЗАННОСТИ И ДЕЙСТВИЯ </w:t>
          </w:r>
          <w:r w:rsidRPr="001464A5">
            <w:rPr>
              <w:rFonts w:ascii="Arial" w:hAnsi="Arial" w:cs="Arial"/>
              <w:b/>
              <w:sz w:val="10"/>
            </w:rPr>
            <w:t>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F2B44" w:rsidTr="00277471">
      <w:tc>
        <w:tcPr>
          <w:tcW w:w="9854" w:type="dxa"/>
          <w:tcBorders>
            <w:bottom w:val="single" w:sz="12" w:space="0" w:color="0070C0"/>
          </w:tcBorders>
        </w:tcPr>
        <w:p w:rsidR="00FF2B44" w:rsidRPr="00FF2B44" w:rsidRDefault="00FF2B44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F2B44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F2B44" w:rsidRPr="00EA3EB0" w:rsidRDefault="00FF2B44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5D15EE" w:rsidRDefault="005D15EE" w:rsidP="001464A5">
          <w:pPr>
            <w:pStyle w:val="a7"/>
            <w:jc w:val="right"/>
            <w:rPr>
              <w:rFonts w:ascii="Arial" w:hAnsi="Arial" w:cs="Arial"/>
              <w:sz w:val="10"/>
              <w:szCs w:val="10"/>
            </w:rPr>
          </w:pPr>
          <w:r w:rsidRPr="005D15EE">
            <w:rPr>
              <w:rFonts w:ascii="Arial" w:hAnsi="Arial" w:cs="Arial"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EA3EB0" w:rsidRDefault="004A4125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552C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6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3"/>
  </w:num>
  <w:num w:numId="5">
    <w:abstractNumId w:val="6"/>
  </w:num>
  <w:num w:numId="6">
    <w:abstractNumId w:val="13"/>
  </w:num>
  <w:num w:numId="7">
    <w:abstractNumId w:val="18"/>
  </w:num>
  <w:num w:numId="8">
    <w:abstractNumId w:val="14"/>
  </w:num>
  <w:num w:numId="9">
    <w:abstractNumId w:val="3"/>
  </w:num>
  <w:num w:numId="10">
    <w:abstractNumId w:val="25"/>
  </w:num>
  <w:num w:numId="11">
    <w:abstractNumId w:val="1"/>
  </w:num>
  <w:num w:numId="12">
    <w:abstractNumId w:val="17"/>
  </w:num>
  <w:num w:numId="13">
    <w:abstractNumId w:val="26"/>
  </w:num>
  <w:num w:numId="1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4"/>
  </w:num>
  <w:num w:numId="19">
    <w:abstractNumId w:val="25"/>
  </w:num>
  <w:num w:numId="20">
    <w:abstractNumId w:val="2"/>
  </w:num>
  <w:num w:numId="21">
    <w:abstractNumId w:val="10"/>
  </w:num>
  <w:num w:numId="22">
    <w:abstractNumId w:val="27"/>
  </w:num>
  <w:num w:numId="23">
    <w:abstractNumId w:val="7"/>
  </w:num>
  <w:num w:numId="24">
    <w:abstractNumId w:val="19"/>
  </w:num>
  <w:num w:numId="25">
    <w:abstractNumId w:val="12"/>
  </w:num>
  <w:num w:numId="26">
    <w:abstractNumId w:val="21"/>
  </w:num>
  <w:num w:numId="27">
    <w:abstractNumId w:val="15"/>
  </w:num>
  <w:num w:numId="28">
    <w:abstractNumId w:val="16"/>
  </w:num>
  <w:num w:numId="29">
    <w:abstractNumId w:val="5"/>
  </w:num>
  <w:num w:numId="3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341CA"/>
    <w:rsid w:val="00034A72"/>
    <w:rsid w:val="000440E6"/>
    <w:rsid w:val="00062706"/>
    <w:rsid w:val="0006777E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49CD"/>
    <w:rsid w:val="00113028"/>
    <w:rsid w:val="001363AD"/>
    <w:rsid w:val="00137596"/>
    <w:rsid w:val="00141517"/>
    <w:rsid w:val="0014187D"/>
    <w:rsid w:val="00142426"/>
    <w:rsid w:val="001464A5"/>
    <w:rsid w:val="00154584"/>
    <w:rsid w:val="00154787"/>
    <w:rsid w:val="00160AAF"/>
    <w:rsid w:val="0017199F"/>
    <w:rsid w:val="0017603C"/>
    <w:rsid w:val="001B5B40"/>
    <w:rsid w:val="001B5B9B"/>
    <w:rsid w:val="001C067A"/>
    <w:rsid w:val="001D1F2D"/>
    <w:rsid w:val="0020057C"/>
    <w:rsid w:val="00203A84"/>
    <w:rsid w:val="00244AB9"/>
    <w:rsid w:val="00277471"/>
    <w:rsid w:val="00290E30"/>
    <w:rsid w:val="00296792"/>
    <w:rsid w:val="002A5E42"/>
    <w:rsid w:val="002B3B01"/>
    <w:rsid w:val="002D4A05"/>
    <w:rsid w:val="002E00F6"/>
    <w:rsid w:val="00317D90"/>
    <w:rsid w:val="00324210"/>
    <w:rsid w:val="00377A5D"/>
    <w:rsid w:val="003B3F0E"/>
    <w:rsid w:val="003C38E2"/>
    <w:rsid w:val="003D3709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43967"/>
    <w:rsid w:val="004504FE"/>
    <w:rsid w:val="00460AB8"/>
    <w:rsid w:val="004619A4"/>
    <w:rsid w:val="0046336D"/>
    <w:rsid w:val="004758E8"/>
    <w:rsid w:val="004A4125"/>
    <w:rsid w:val="004B07C9"/>
    <w:rsid w:val="004B3607"/>
    <w:rsid w:val="004B4142"/>
    <w:rsid w:val="004B4E82"/>
    <w:rsid w:val="004D1ED7"/>
    <w:rsid w:val="004D3619"/>
    <w:rsid w:val="00507469"/>
    <w:rsid w:val="00507A46"/>
    <w:rsid w:val="00507F02"/>
    <w:rsid w:val="00521772"/>
    <w:rsid w:val="00550D1E"/>
    <w:rsid w:val="0055313D"/>
    <w:rsid w:val="00556810"/>
    <w:rsid w:val="00585DCA"/>
    <w:rsid w:val="00585E74"/>
    <w:rsid w:val="005932AE"/>
    <w:rsid w:val="0059452C"/>
    <w:rsid w:val="005A0266"/>
    <w:rsid w:val="005B639B"/>
    <w:rsid w:val="005D15EE"/>
    <w:rsid w:val="005E18BE"/>
    <w:rsid w:val="005F2C1C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714FEA"/>
    <w:rsid w:val="007349F6"/>
    <w:rsid w:val="00753A67"/>
    <w:rsid w:val="007545BF"/>
    <w:rsid w:val="00762FF5"/>
    <w:rsid w:val="007721FE"/>
    <w:rsid w:val="00775EE4"/>
    <w:rsid w:val="0079763A"/>
    <w:rsid w:val="007A6CFD"/>
    <w:rsid w:val="007B0CEB"/>
    <w:rsid w:val="007B726B"/>
    <w:rsid w:val="007E6A8A"/>
    <w:rsid w:val="008020DA"/>
    <w:rsid w:val="00813EDF"/>
    <w:rsid w:val="00816E7D"/>
    <w:rsid w:val="00825258"/>
    <w:rsid w:val="00831C18"/>
    <w:rsid w:val="00861FEC"/>
    <w:rsid w:val="0087253E"/>
    <w:rsid w:val="00877323"/>
    <w:rsid w:val="00882578"/>
    <w:rsid w:val="00885446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0114E"/>
    <w:rsid w:val="009140C2"/>
    <w:rsid w:val="00921099"/>
    <w:rsid w:val="00921E97"/>
    <w:rsid w:val="009328E9"/>
    <w:rsid w:val="00936CA7"/>
    <w:rsid w:val="00945989"/>
    <w:rsid w:val="00947FAE"/>
    <w:rsid w:val="00955AF8"/>
    <w:rsid w:val="00960198"/>
    <w:rsid w:val="009933CC"/>
    <w:rsid w:val="00996576"/>
    <w:rsid w:val="009B075D"/>
    <w:rsid w:val="009C256A"/>
    <w:rsid w:val="009D1BC7"/>
    <w:rsid w:val="009D32AB"/>
    <w:rsid w:val="009E1911"/>
    <w:rsid w:val="009E4695"/>
    <w:rsid w:val="009E47D4"/>
    <w:rsid w:val="009E75B7"/>
    <w:rsid w:val="00A0019F"/>
    <w:rsid w:val="00A04F3B"/>
    <w:rsid w:val="00A22710"/>
    <w:rsid w:val="00A329F6"/>
    <w:rsid w:val="00A35CEF"/>
    <w:rsid w:val="00A672A5"/>
    <w:rsid w:val="00A70F20"/>
    <w:rsid w:val="00AA0C4B"/>
    <w:rsid w:val="00AC5E94"/>
    <w:rsid w:val="00B17EA2"/>
    <w:rsid w:val="00B30FFE"/>
    <w:rsid w:val="00B31003"/>
    <w:rsid w:val="00B36448"/>
    <w:rsid w:val="00B52EA3"/>
    <w:rsid w:val="00B6125A"/>
    <w:rsid w:val="00B77FA4"/>
    <w:rsid w:val="00B84591"/>
    <w:rsid w:val="00BA0DF0"/>
    <w:rsid w:val="00BA3866"/>
    <w:rsid w:val="00BB7600"/>
    <w:rsid w:val="00BC0262"/>
    <w:rsid w:val="00BD28EB"/>
    <w:rsid w:val="00BD4819"/>
    <w:rsid w:val="00BD6044"/>
    <w:rsid w:val="00C1042E"/>
    <w:rsid w:val="00C10620"/>
    <w:rsid w:val="00C27393"/>
    <w:rsid w:val="00C324E8"/>
    <w:rsid w:val="00C33843"/>
    <w:rsid w:val="00C4545E"/>
    <w:rsid w:val="00C46121"/>
    <w:rsid w:val="00C465CF"/>
    <w:rsid w:val="00C47787"/>
    <w:rsid w:val="00C671E2"/>
    <w:rsid w:val="00C8610C"/>
    <w:rsid w:val="00C86F92"/>
    <w:rsid w:val="00CA7E08"/>
    <w:rsid w:val="00CD16CC"/>
    <w:rsid w:val="00CD2708"/>
    <w:rsid w:val="00CD3087"/>
    <w:rsid w:val="00CD724D"/>
    <w:rsid w:val="00CE6945"/>
    <w:rsid w:val="00D13CC0"/>
    <w:rsid w:val="00D212CF"/>
    <w:rsid w:val="00D4583F"/>
    <w:rsid w:val="00D53EB2"/>
    <w:rsid w:val="00D54825"/>
    <w:rsid w:val="00D6594A"/>
    <w:rsid w:val="00D70DFA"/>
    <w:rsid w:val="00D74C65"/>
    <w:rsid w:val="00D8230B"/>
    <w:rsid w:val="00D90BEB"/>
    <w:rsid w:val="00DA35A8"/>
    <w:rsid w:val="00DA55D7"/>
    <w:rsid w:val="00DB0792"/>
    <w:rsid w:val="00DB68C7"/>
    <w:rsid w:val="00DD115B"/>
    <w:rsid w:val="00DD65B4"/>
    <w:rsid w:val="00DE597E"/>
    <w:rsid w:val="00E373EA"/>
    <w:rsid w:val="00E70701"/>
    <w:rsid w:val="00E85D8C"/>
    <w:rsid w:val="00E91A37"/>
    <w:rsid w:val="00EA0351"/>
    <w:rsid w:val="00EA3EB0"/>
    <w:rsid w:val="00EA70EC"/>
    <w:rsid w:val="00EA774C"/>
    <w:rsid w:val="00EC483F"/>
    <w:rsid w:val="00EC6D08"/>
    <w:rsid w:val="00ED1AD9"/>
    <w:rsid w:val="00EF0A7D"/>
    <w:rsid w:val="00EF685B"/>
    <w:rsid w:val="00F03273"/>
    <w:rsid w:val="00F14368"/>
    <w:rsid w:val="00F24BEE"/>
    <w:rsid w:val="00F31AEC"/>
    <w:rsid w:val="00F332E9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F2B10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1BFD2-E1D4-46A5-AC49-FB3134AF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2361</Words>
  <Characters>18507</Characters>
  <Application>Microsoft Office Word</Application>
  <DocSecurity>0</DocSecurity>
  <Lines>474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2020-07-03T07:57:00Z</dcterms:created>
  <dcterms:modified xsi:type="dcterms:W3CDTF">2020-07-03T07:57:00Z</dcterms:modified>
</cp:coreProperties>
</file>