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25ABF">
        <w:rPr>
          <w:rFonts w:ascii="Times New Roman" w:hAnsi="Times New Roman"/>
          <w:b/>
          <w:szCs w:val="22"/>
        </w:rPr>
        <w:t>8</w:t>
      </w:r>
      <w:r w:rsidR="007B6FAE">
        <w:rPr>
          <w:rFonts w:ascii="Times New Roman" w:hAnsi="Times New Roman"/>
          <w:b/>
          <w:szCs w:val="22"/>
        </w:rPr>
        <w:t>0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7B6FAE" w:rsidRPr="007B6FAE">
        <w:rPr>
          <w:rFonts w:ascii="Times New Roman" w:hAnsi="Times New Roman"/>
          <w:szCs w:val="22"/>
        </w:rPr>
        <w:t>долот шарошечных и забойных фрез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6FAE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73</cp:revision>
  <dcterms:created xsi:type="dcterms:W3CDTF">2016-11-30T12:38:00Z</dcterms:created>
  <dcterms:modified xsi:type="dcterms:W3CDTF">2022-08-23T07:04:00Z</dcterms:modified>
</cp:coreProperties>
</file>