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680BF8" w:rsidRDefault="00BC2B50" w:rsidP="00BC2B5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BF8" w:rsidRPr="00680BF8" w:rsidRDefault="00680BF8" w:rsidP="00680BF8">
            <w:pPr>
              <w:ind w:firstLine="6555"/>
              <w:rPr>
                <w:rFonts w:ascii="Times New Roman" w:hAnsi="Times New Roman"/>
                <w:b/>
                <w:sz w:val="20"/>
                <w:szCs w:val="20"/>
              </w:rPr>
            </w:pP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 xml:space="preserve">Приложение № 24 </w:t>
            </w:r>
          </w:p>
          <w:p w:rsidR="00BC2B50" w:rsidRPr="00680BF8" w:rsidRDefault="00680BF8" w:rsidP="00680BF8">
            <w:pPr>
              <w:ind w:firstLine="655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 xml:space="preserve">к договору № </w:t>
            </w:r>
            <w:r w:rsidR="00431EE4">
              <w:rPr>
                <w:rFonts w:ascii="Times New Roman" w:hAnsi="Times New Roman"/>
                <w:b/>
                <w:sz w:val="20"/>
                <w:szCs w:val="20"/>
              </w:rPr>
              <w:t>___</w:t>
            </w: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>/202</w:t>
            </w:r>
            <w:r w:rsidR="00431EE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 xml:space="preserve"> от </w:t>
            </w:r>
            <w:r w:rsidR="00431EE4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proofErr w:type="gramStart"/>
            <w:r w:rsidR="00431EE4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31EE4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proofErr w:type="gramEnd"/>
            <w:r w:rsidR="00431EE4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r w:rsidRPr="00680BF8">
              <w:rPr>
                <w:rFonts w:ascii="Times New Roman" w:hAnsi="Times New Roman"/>
                <w:b/>
                <w:sz w:val="20"/>
                <w:szCs w:val="20"/>
              </w:rPr>
              <w:t>.202</w:t>
            </w:r>
            <w:r w:rsidR="00431EE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680BF8" w:rsidRPr="00D470FE" w:rsidRDefault="00680BF8" w:rsidP="00BC2B50">
            <w:pPr>
              <w:jc w:val="center"/>
              <w:rPr>
                <w:rFonts w:cs="Arial"/>
                <w:b/>
                <w:sz w:val="24"/>
              </w:rPr>
            </w:pP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2F627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D468C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DD468C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D468C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2F6273" w:rsidRPr="00DD468C" w:rsidRDefault="002F627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D468C">
              <w:rPr>
                <w:rFonts w:ascii="Times New Roman" w:hAnsi="Times New Roman"/>
                <w:b/>
                <w:sz w:val="32"/>
                <w:szCs w:val="32"/>
              </w:rPr>
              <w:t>согласования суб</w:t>
            </w:r>
            <w:r w:rsidR="004802B9" w:rsidRPr="00DD468C">
              <w:rPr>
                <w:rFonts w:ascii="Times New Roman" w:hAnsi="Times New Roman"/>
                <w:b/>
                <w:sz w:val="32"/>
                <w:szCs w:val="32"/>
              </w:rPr>
              <w:t>подрядчика</w:t>
            </w:r>
            <w:r w:rsidRPr="00DD468C">
              <w:rPr>
                <w:rFonts w:ascii="Times New Roman" w:hAnsi="Times New Roman"/>
                <w:b/>
                <w:sz w:val="32"/>
                <w:szCs w:val="32"/>
              </w:rPr>
              <w:t xml:space="preserve"> подрядной организации</w:t>
            </w:r>
          </w:p>
          <w:p w:rsidR="00DA3879" w:rsidRPr="00DD468C" w:rsidRDefault="00DA3879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3969"/>
              <w:gridCol w:w="1379"/>
              <w:gridCol w:w="4519"/>
            </w:tblGrid>
            <w:tr w:rsidR="00DD468C" w:rsidRPr="00DD468C" w:rsidTr="00A004B0">
              <w:trPr>
                <w:trHeight w:val="1566"/>
              </w:trPr>
              <w:tc>
                <w:tcPr>
                  <w:tcW w:w="2011" w:type="pct"/>
                </w:tcPr>
                <w:p w:rsidR="00DD468C" w:rsidRPr="00DD468C" w:rsidRDefault="00DD468C" w:rsidP="00A004B0">
                  <w:pPr>
                    <w:ind w:firstLine="34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>ИСПОЛНИТЕЛЬ</w:t>
                  </w:r>
                </w:p>
                <w:p w:rsidR="00DD468C" w:rsidRPr="00DD468C" w:rsidRDefault="00DD468C" w:rsidP="00A004B0">
                  <w:pPr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 xml:space="preserve">Генеральный директор </w:t>
                  </w:r>
                </w:p>
                <w:p w:rsidR="00DD468C" w:rsidRPr="00DD468C" w:rsidRDefault="00DD468C" w:rsidP="00A004B0">
                  <w:pPr>
                    <w:outlineLvl w:val="0"/>
                    <w:rPr>
                      <w:rFonts w:ascii="Times New Roman" w:hAnsi="Times New Roman"/>
                      <w:b/>
                    </w:rPr>
                  </w:pPr>
                </w:p>
                <w:p w:rsidR="00DD468C" w:rsidRPr="00DD468C" w:rsidRDefault="00DD468C" w:rsidP="00A004B0">
                  <w:pPr>
                    <w:outlineLvl w:val="0"/>
                    <w:rPr>
                      <w:rFonts w:ascii="Times New Roman" w:hAnsi="Times New Roman"/>
                      <w:b/>
                    </w:rPr>
                  </w:pPr>
                </w:p>
                <w:p w:rsidR="00DD468C" w:rsidRPr="00DD468C" w:rsidRDefault="00DD468C" w:rsidP="00A004B0">
                  <w:pPr>
                    <w:ind w:firstLine="34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 xml:space="preserve">_______________  </w:t>
                  </w:r>
                  <w:bookmarkStart w:id="0" w:name="_GoBack"/>
                  <w:bookmarkEnd w:id="0"/>
                </w:p>
                <w:p w:rsidR="00DD468C" w:rsidRPr="00DD468C" w:rsidRDefault="00DD468C" w:rsidP="00A004B0">
                  <w:pPr>
                    <w:ind w:firstLine="34"/>
                    <w:outlineLvl w:val="0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DD468C">
                    <w:rPr>
                      <w:rFonts w:ascii="Times New Roman" w:hAnsi="Times New Roman"/>
                      <w:b/>
                      <w:bCs/>
                      <w:iCs/>
                    </w:rPr>
                    <w:t>м.п</w:t>
                  </w:r>
                  <w:proofErr w:type="spellEnd"/>
                  <w:r w:rsidRPr="00DD468C">
                    <w:rPr>
                      <w:rFonts w:ascii="Times New Roman" w:hAnsi="Times New Roman"/>
                      <w:b/>
                      <w:bCs/>
                      <w:iCs/>
                    </w:rPr>
                    <w:t>.</w:t>
                  </w:r>
                  <w:r w:rsidRPr="00DD468C">
                    <w:rPr>
                      <w:rFonts w:ascii="Times New Roman" w:hAnsi="Times New Roman"/>
                      <w:b/>
                    </w:rPr>
                    <w:t xml:space="preserve">                </w:t>
                  </w:r>
                </w:p>
                <w:p w:rsidR="00DD468C" w:rsidRPr="00DD468C" w:rsidRDefault="00DD468C" w:rsidP="00A004B0">
                  <w:pPr>
                    <w:outlineLvl w:val="0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699" w:type="pct"/>
                </w:tcPr>
                <w:p w:rsidR="00DD468C" w:rsidRPr="00DD468C" w:rsidRDefault="00DD468C" w:rsidP="00A004B0">
                  <w:pPr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290" w:type="pct"/>
                </w:tcPr>
                <w:p w:rsidR="00DD468C" w:rsidRPr="00DD468C" w:rsidRDefault="00DD468C" w:rsidP="00A004B0">
                  <w:pPr>
                    <w:ind w:left="189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>ЗАКАЗЧИК</w:t>
                  </w:r>
                </w:p>
                <w:p w:rsidR="00DD468C" w:rsidRPr="00DD468C" w:rsidRDefault="00DD468C" w:rsidP="00A004B0">
                  <w:pPr>
                    <w:ind w:left="189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 xml:space="preserve">Генеральный директор </w:t>
                  </w:r>
                </w:p>
                <w:p w:rsidR="00DD468C" w:rsidRPr="00DD468C" w:rsidRDefault="00DD468C" w:rsidP="00A004B0">
                  <w:pPr>
                    <w:ind w:left="189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>ООО «БНГРЭ»</w:t>
                  </w:r>
                </w:p>
                <w:p w:rsidR="00DD468C" w:rsidRPr="00DD468C" w:rsidRDefault="00DD468C" w:rsidP="00A004B0">
                  <w:pPr>
                    <w:ind w:left="189"/>
                    <w:jc w:val="center"/>
                    <w:outlineLvl w:val="0"/>
                    <w:rPr>
                      <w:rFonts w:ascii="Times New Roman" w:hAnsi="Times New Roman"/>
                      <w:b/>
                    </w:rPr>
                  </w:pPr>
                </w:p>
                <w:p w:rsidR="00DD468C" w:rsidRPr="00DD468C" w:rsidRDefault="00DD468C" w:rsidP="00A004B0">
                  <w:pPr>
                    <w:ind w:left="189"/>
                    <w:outlineLvl w:val="0"/>
                    <w:rPr>
                      <w:rFonts w:ascii="Times New Roman" w:hAnsi="Times New Roman"/>
                      <w:b/>
                    </w:rPr>
                  </w:pPr>
                  <w:r w:rsidRPr="00DD468C">
                    <w:rPr>
                      <w:rFonts w:ascii="Times New Roman" w:hAnsi="Times New Roman"/>
                      <w:b/>
                    </w:rPr>
                    <w:t xml:space="preserve">_______________ Н.Ф. Ганиев </w:t>
                  </w:r>
                </w:p>
                <w:p w:rsidR="00DD468C" w:rsidRPr="00DD468C" w:rsidRDefault="00DD468C" w:rsidP="00A004B0">
                  <w:pPr>
                    <w:ind w:left="189"/>
                    <w:outlineLvl w:val="0"/>
                    <w:rPr>
                      <w:rFonts w:ascii="Times New Roman" w:hAnsi="Times New Roman"/>
                      <w:b/>
                      <w:bCs/>
                      <w:iCs/>
                    </w:rPr>
                  </w:pPr>
                  <w:proofErr w:type="spellStart"/>
                  <w:r w:rsidRPr="00DD468C">
                    <w:rPr>
                      <w:rFonts w:ascii="Times New Roman" w:hAnsi="Times New Roman"/>
                      <w:b/>
                    </w:rPr>
                    <w:t>м.п</w:t>
                  </w:r>
                  <w:proofErr w:type="spellEnd"/>
                  <w:r w:rsidRPr="00DD468C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</w:tr>
          </w:tbl>
          <w:p w:rsidR="002F6273" w:rsidRPr="00DD468C" w:rsidRDefault="002F6273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2F62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2F6273">
              <w:rPr>
                <w:rFonts w:ascii="Times New Roman" w:hAnsi="Times New Roman"/>
                <w:b/>
                <w:sz w:val="24"/>
              </w:rPr>
              <w:t>2</w:t>
            </w:r>
            <w:r w:rsidR="006C0A0A">
              <w:rPr>
                <w:rFonts w:ascii="Times New Roman" w:hAnsi="Times New Roman"/>
                <w:b/>
                <w:sz w:val="24"/>
              </w:rPr>
              <w:t>2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0809A7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0809A7">
        <w:rPr>
          <w:rFonts w:ascii="Times New Roman" w:hAnsi="Times New Roman"/>
        </w:rPr>
        <w:lastRenderedPageBreak/>
        <w:t>ОГЛАВЛЕНИЕ</w:t>
      </w:r>
    </w:p>
    <w:p w:rsidR="00C438EE" w:rsidRPr="000809A7" w:rsidRDefault="005329C6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r w:rsidRPr="000809A7">
        <w:rPr>
          <w:rFonts w:ascii="Times New Roman" w:hAnsi="Times New Roman"/>
          <w:color w:val="000000" w:themeColor="text1"/>
          <w:szCs w:val="22"/>
        </w:rPr>
        <w:fldChar w:fldCharType="begin"/>
      </w:r>
      <w:r w:rsidR="002278E1" w:rsidRPr="000809A7">
        <w:rPr>
          <w:rFonts w:ascii="Times New Roman" w:hAnsi="Times New Roman"/>
          <w:color w:val="000000" w:themeColor="text1"/>
          <w:szCs w:val="22"/>
        </w:rPr>
        <w:instrText xml:space="preserve"> TOC \h \z \t "Заголовок 1;1;Заголовок 2;2" </w:instrText>
      </w:r>
      <w:r w:rsidRPr="000809A7">
        <w:rPr>
          <w:rFonts w:ascii="Times New Roman" w:hAnsi="Times New Roman"/>
          <w:color w:val="000000" w:themeColor="text1"/>
          <w:szCs w:val="22"/>
        </w:rPr>
        <w:fldChar w:fldCharType="separate"/>
      </w:r>
      <w:hyperlink w:anchor="_Toc504140226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1.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Общие положения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_Toc504140226 \h </w:instrText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3</w:t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A042E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7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1.1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Назначение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_Toc504140227 \h </w:instrTex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A042E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8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1.2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Область применения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_Toc504140228 \h </w:instrTex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A042E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9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1.3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Порядок утверждения, внесения изменений и дополнений, признания утратившим силу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_Toc504140229 \h </w:instrTex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5329C6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A042E8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0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2.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Термины, определения и сокращения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_Toc504140230 \h </w:instrText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4</w:t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A042E8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1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3.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5D518A" w:rsidRPr="000809A7">
          <w:rPr>
            <w:rFonts w:ascii="Times New Roman" w:hAnsi="Times New Roman"/>
            <w:color w:val="000000" w:themeColor="text1"/>
            <w:szCs w:val="22"/>
          </w:rPr>
          <w:t>Порядок проверки сведений о субподрядчиках подрядных организаций для допуска на объекты производственной деятельности общества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_Toc504140231 \h </w:instrText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4</w:t>
        </w:r>
        <w:r w:rsidR="005329C6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:rsidR="00C438EE" w:rsidRPr="000809A7" w:rsidRDefault="00C438EE">
      <w:pPr>
        <w:pStyle w:val="11"/>
        <w:rPr>
          <w:rStyle w:val="af2"/>
          <w:rFonts w:ascii="Times New Roman" w:hAnsi="Times New Roman"/>
          <w:color w:val="000000" w:themeColor="text1"/>
          <w:szCs w:val="22"/>
          <w:u w:val="none"/>
        </w:rPr>
      </w:pPr>
    </w:p>
    <w:p w:rsidR="005D518A" w:rsidRPr="000809A7" w:rsidRDefault="00A042E8" w:rsidP="005D518A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3" w:history="1">
        <w:r w:rsidR="005D518A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Приложения</w:t>
        </w:r>
        <w:r w:rsidR="005D518A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webHidden/>
            <w:color w:val="000000" w:themeColor="text1"/>
            <w:szCs w:val="22"/>
          </w:rPr>
          <w:t>7</w:t>
        </w:r>
      </w:hyperlink>
      <w:r w:rsidR="005D518A" w:rsidRPr="000809A7">
        <w:rPr>
          <w:rFonts w:ascii="Times New Roman" w:eastAsiaTheme="minorEastAsia" w:hAnsi="Times New Roman"/>
          <w:b w:val="0"/>
          <w:color w:val="000000" w:themeColor="text1"/>
          <w:szCs w:val="22"/>
        </w:rPr>
        <w:t xml:space="preserve"> </w:t>
      </w:r>
    </w:p>
    <w:p w:rsidR="00C438EE" w:rsidRPr="000809A7" w:rsidRDefault="00A042E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4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1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Термины, определения и сокращения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7</w:t>
        </w:r>
      </w:hyperlink>
    </w:p>
    <w:p w:rsidR="00C438EE" w:rsidRPr="000809A7" w:rsidRDefault="00A042E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5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2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5D518A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Анкета - заявка на прохождение аккредитации по упрощенной процедуре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8</w:t>
        </w:r>
      </w:hyperlink>
    </w:p>
    <w:p w:rsidR="00C438EE" w:rsidRPr="000809A7" w:rsidRDefault="00A042E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6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3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0809A7" w:rsidRPr="000809A7">
          <w:rPr>
            <w:rFonts w:ascii="Times New Roman" w:hAnsi="Times New Roman"/>
            <w:color w:val="000000" w:themeColor="text1"/>
            <w:szCs w:val="22"/>
          </w:rPr>
          <w:t>Сведения о работниках субподрядной организации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9</w:t>
        </w:r>
      </w:hyperlink>
    </w:p>
    <w:p w:rsidR="00C438EE" w:rsidRPr="000809A7" w:rsidRDefault="00A042E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7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4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Сведения о технике субподрядной организации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9</w:t>
        </w:r>
      </w:hyperlink>
    </w:p>
    <w:p w:rsidR="000809A7" w:rsidRPr="000809A7" w:rsidRDefault="00A042E8" w:rsidP="000809A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8" w:history="1"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5</w:t>
        </w:r>
        <w:r w:rsidR="000809A7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Сведения о цепочке собственников, включая конечных бенефициаров</w:t>
        </w:r>
        <w:r w:rsidR="000809A7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10</w:t>
        </w:r>
      </w:hyperlink>
    </w:p>
    <w:p w:rsidR="000809A7" w:rsidRPr="000809A7" w:rsidRDefault="005329C6" w:rsidP="000809A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r w:rsidRPr="000809A7">
        <w:rPr>
          <w:rFonts w:ascii="Times New Roman" w:hAnsi="Times New Roman"/>
          <w:color w:val="000000" w:themeColor="text1"/>
          <w:szCs w:val="22"/>
        </w:rPr>
        <w:fldChar w:fldCharType="end"/>
      </w:r>
      <w:hyperlink w:anchor="_Toc504140238" w:history="1"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6</w:t>
        </w:r>
        <w:r w:rsidR="000809A7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AF06AA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Блок схема процесса согласования субподрядчика</w:t>
        </w:r>
        <w:r w:rsidR="000809A7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11</w:t>
        </w:r>
      </w:hyperlink>
    </w:p>
    <w:p w:rsidR="00596D0E" w:rsidRPr="000809A7" w:rsidRDefault="00596D0E" w:rsidP="00663B69">
      <w:pPr>
        <w:pStyle w:val="21"/>
        <w:tabs>
          <w:tab w:val="left" w:pos="880"/>
          <w:tab w:val="right" w:leader="dot" w:pos="10195"/>
        </w:tabs>
        <w:rPr>
          <w:rFonts w:ascii="Times New Roman" w:hAnsi="Times New Roman"/>
          <w:color w:val="000000" w:themeColor="text1"/>
          <w:szCs w:val="22"/>
        </w:rPr>
        <w:sectPr w:rsidR="00596D0E" w:rsidRPr="000809A7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825834" w:rsidRDefault="00825834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825834">
        <w:rPr>
          <w:rFonts w:ascii="Times New Roman" w:hAnsi="Times New Roman"/>
        </w:rPr>
        <w:t>Процедура</w:t>
      </w:r>
      <w:r w:rsidR="00596D0E" w:rsidRPr="00825834">
        <w:rPr>
          <w:rFonts w:ascii="Times New Roman" w:hAnsi="Times New Roman"/>
        </w:rPr>
        <w:t xml:space="preserve"> </w:t>
      </w:r>
      <w:r w:rsidR="002F6273" w:rsidRPr="00825834">
        <w:rPr>
          <w:rFonts w:ascii="Times New Roman" w:hAnsi="Times New Roman"/>
        </w:rPr>
        <w:t>согл</w:t>
      </w:r>
      <w:r w:rsidRPr="00825834">
        <w:rPr>
          <w:rFonts w:ascii="Times New Roman" w:hAnsi="Times New Roman"/>
        </w:rPr>
        <w:t>а</w:t>
      </w:r>
      <w:r w:rsidR="002F6273" w:rsidRPr="00825834">
        <w:rPr>
          <w:rFonts w:ascii="Times New Roman" w:hAnsi="Times New Roman"/>
        </w:rPr>
        <w:t>сования суб</w:t>
      </w:r>
      <w:r w:rsidR="004802B9">
        <w:rPr>
          <w:rFonts w:ascii="Times New Roman" w:hAnsi="Times New Roman"/>
        </w:rPr>
        <w:t>подрядчика</w:t>
      </w:r>
      <w:r w:rsidR="002F6273" w:rsidRPr="00825834">
        <w:rPr>
          <w:rFonts w:ascii="Times New Roman" w:hAnsi="Times New Roman"/>
        </w:rPr>
        <w:t xml:space="preserve"> подрядной организации </w:t>
      </w:r>
      <w:r w:rsidR="00596D0E" w:rsidRPr="00825834">
        <w:rPr>
          <w:rFonts w:ascii="Times New Roman" w:hAnsi="Times New Roman"/>
        </w:rPr>
        <w:t>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</w:t>
      </w:r>
      <w:r w:rsidR="002F6273" w:rsidRPr="00825834">
        <w:rPr>
          <w:rFonts w:ascii="Times New Roman" w:hAnsi="Times New Roman"/>
        </w:rPr>
        <w:t xml:space="preserve"> суб</w:t>
      </w:r>
      <w:r w:rsidR="004802B9">
        <w:rPr>
          <w:rFonts w:ascii="Times New Roman" w:hAnsi="Times New Roman"/>
        </w:rPr>
        <w:t>подрядчика</w:t>
      </w:r>
      <w:r w:rsidR="002F6273" w:rsidRPr="00825834">
        <w:rPr>
          <w:rFonts w:ascii="Times New Roman" w:hAnsi="Times New Roman"/>
        </w:rPr>
        <w:t xml:space="preserve"> подрядной организации</w:t>
      </w:r>
      <w:r w:rsidR="00596D0E" w:rsidRPr="00825834">
        <w:rPr>
          <w:rFonts w:ascii="Times New Roman" w:hAnsi="Times New Roman"/>
        </w:rPr>
        <w:t>, привлека</w:t>
      </w:r>
      <w:r w:rsidR="002F6273" w:rsidRPr="00825834">
        <w:rPr>
          <w:rFonts w:ascii="Times New Roman" w:hAnsi="Times New Roman"/>
        </w:rPr>
        <w:t>емой</w:t>
      </w:r>
      <w:r w:rsidR="00596D0E" w:rsidRPr="00825834">
        <w:rPr>
          <w:rFonts w:ascii="Times New Roman" w:hAnsi="Times New Roman"/>
        </w:rPr>
        <w:t xml:space="preserve"> к выполнению работ</w:t>
      </w:r>
      <w:r w:rsidR="004802B9">
        <w:rPr>
          <w:rFonts w:ascii="Times New Roman" w:hAnsi="Times New Roman"/>
        </w:rPr>
        <w:t>,</w:t>
      </w:r>
      <w:r w:rsidR="00596D0E" w:rsidRPr="00825834">
        <w:rPr>
          <w:rFonts w:ascii="Times New Roman" w:hAnsi="Times New Roman"/>
        </w:rPr>
        <w:t xml:space="preserve"> оказанию услуг </w:t>
      </w:r>
      <w:r w:rsidR="00490CFE" w:rsidRPr="0082583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</w:t>
      </w:r>
      <w:r w:rsidR="00825834">
        <w:rPr>
          <w:rFonts w:ascii="Times New Roman" w:hAnsi="Times New Roman"/>
        </w:rPr>
        <w:t>согласованию суб</w:t>
      </w:r>
      <w:r w:rsidR="004802B9">
        <w:rPr>
          <w:rFonts w:ascii="Times New Roman" w:hAnsi="Times New Roman"/>
        </w:rPr>
        <w:t>подрядчика</w:t>
      </w:r>
      <w:r w:rsidR="00825834">
        <w:rPr>
          <w:rFonts w:ascii="Times New Roman" w:hAnsi="Times New Roman"/>
        </w:rPr>
        <w:t xml:space="preserve"> подрядной организации</w:t>
      </w:r>
      <w:r w:rsidR="00490CFE" w:rsidRPr="001941E6">
        <w:rPr>
          <w:rFonts w:ascii="Times New Roman" w:hAnsi="Times New Roman"/>
        </w:rPr>
        <w:t>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825834">
        <w:rPr>
          <w:rFonts w:ascii="Times New Roman" w:hAnsi="Times New Roman"/>
        </w:rPr>
        <w:t>нструкции по аккредитации потенциальных контрагентов</w:t>
      </w:r>
      <w:r w:rsidR="00222145" w:rsidRPr="001941E6">
        <w:rPr>
          <w:rFonts w:ascii="Times New Roman" w:hAnsi="Times New Roman"/>
        </w:rPr>
        <w:t xml:space="preserve"> ООО «</w:t>
      </w:r>
      <w:r w:rsidR="00825834">
        <w:rPr>
          <w:rFonts w:ascii="Times New Roman" w:hAnsi="Times New Roman"/>
        </w:rPr>
        <w:t>БНГРЭ»</w:t>
      </w:r>
      <w:r w:rsidR="00222145" w:rsidRPr="001941E6">
        <w:rPr>
          <w:rFonts w:ascii="Times New Roman" w:hAnsi="Times New Roman"/>
        </w:rPr>
        <w:t>;</w:t>
      </w:r>
    </w:p>
    <w:p w:rsidR="006C0A0A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6C0A0A">
        <w:rPr>
          <w:rFonts w:ascii="Times New Roman" w:hAnsi="Times New Roman"/>
        </w:rPr>
        <w:t>риказ</w:t>
      </w:r>
      <w:r>
        <w:rPr>
          <w:rFonts w:ascii="Times New Roman" w:hAnsi="Times New Roman"/>
        </w:rPr>
        <w:t>а</w:t>
      </w:r>
      <w:r w:rsidRPr="006C0A0A">
        <w:rPr>
          <w:rFonts w:ascii="Times New Roman" w:hAnsi="Times New Roman"/>
        </w:rPr>
        <w:t xml:space="preserve"> ФНС РФ от 30.05.2007 N ММ-3-06/333@ </w:t>
      </w:r>
      <w:r>
        <w:rPr>
          <w:rFonts w:ascii="Times New Roman" w:hAnsi="Times New Roman"/>
        </w:rPr>
        <w:t>«</w:t>
      </w:r>
      <w:r w:rsidRPr="006C0A0A">
        <w:rPr>
          <w:rFonts w:ascii="Times New Roman" w:hAnsi="Times New Roman"/>
        </w:rPr>
        <w:t>Об утверждении Концепции системы планирования выездных налоговых проверок</w:t>
      </w:r>
      <w:r>
        <w:rPr>
          <w:rFonts w:ascii="Times New Roman" w:hAnsi="Times New Roman"/>
        </w:rPr>
        <w:t>»;</w:t>
      </w:r>
    </w:p>
    <w:p w:rsidR="006C0A0A" w:rsidRPr="001941E6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положения ООО «Славнефть-Красноярскнефтегаз» «Организация пропускно</w:t>
      </w:r>
      <w:r w:rsidR="00CC719B">
        <w:rPr>
          <w:rFonts w:ascii="Times New Roman" w:hAnsi="Times New Roman"/>
        </w:rPr>
        <w:t>г</w:t>
      </w:r>
      <w:r>
        <w:rPr>
          <w:rFonts w:ascii="Times New Roman" w:hAnsi="Times New Roman"/>
        </w:rPr>
        <w:t>о и внутриобъектового режимов на об</w:t>
      </w:r>
      <w:r w:rsidR="00642983">
        <w:rPr>
          <w:rFonts w:ascii="Times New Roman" w:hAnsi="Times New Roman"/>
        </w:rPr>
        <w:t>ъектах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6C0A0A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</w:t>
      </w:r>
      <w:r w:rsidR="006C0A0A">
        <w:rPr>
          <w:rFonts w:ascii="Times New Roman" w:hAnsi="Times New Roman"/>
          <w:color w:val="000000"/>
        </w:rPr>
        <w:t>;</w:t>
      </w:r>
    </w:p>
    <w:p w:rsidR="002831D1" w:rsidRDefault="002831D1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Положение Компании «Система управления безопасной эксплуатацией транспортных средств»</w:t>
      </w:r>
    </w:p>
    <w:p w:rsidR="00BC2B50" w:rsidRPr="00143896" w:rsidRDefault="00F524D4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Стандарт ООО «Славнефть – Красноярскнефтегаз» «Управление подрядными организациями в области промышленной безопасности, охраны труда и окружающей среды» № ПЗ-05 Р-0771 ЮЛ-428;</w:t>
      </w:r>
    </w:p>
    <w:p w:rsidR="00F524D4" w:rsidRPr="00143896" w:rsidRDefault="00F524D4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Положение ООО «РН-Ванкор» «Порядок взаимодействия с подрядными организациями в области промышленной и пожарной безопасности, охраны труда и окружающей среды» № ПЗ-05 Р-0905 ЮЛ-583;</w:t>
      </w:r>
    </w:p>
    <w:p w:rsidR="00F524D4" w:rsidRPr="00143896" w:rsidRDefault="00F524D4" w:rsidP="00F524D4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Положение АО «</w:t>
      </w:r>
      <w:proofErr w:type="spellStart"/>
      <w:r w:rsidRPr="00143896">
        <w:rPr>
          <w:rFonts w:ascii="Times New Roman" w:hAnsi="Times New Roman"/>
          <w:color w:val="000000"/>
        </w:rPr>
        <w:t>Вотсибнефтегаз</w:t>
      </w:r>
      <w:proofErr w:type="spellEnd"/>
      <w:r w:rsidRPr="00143896">
        <w:rPr>
          <w:rFonts w:ascii="Times New Roman" w:hAnsi="Times New Roman"/>
          <w:color w:val="000000"/>
        </w:rPr>
        <w:t>» «Порядок взаимодействия с подрядными организациями в области промышленной и пожарной безопасности, охраны труда и окружающей среды» № ПЗ-05 Р-0881;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3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3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</w:t>
      </w:r>
      <w:r w:rsidR="00642983">
        <w:rPr>
          <w:rFonts w:ascii="Times New Roman" w:hAnsi="Times New Roman"/>
          <w:color w:val="000000"/>
        </w:rPr>
        <w:t xml:space="preserve"> согласования</w:t>
      </w:r>
      <w:r w:rsidR="00BE78B8">
        <w:rPr>
          <w:rFonts w:ascii="Times New Roman" w:hAnsi="Times New Roman"/>
          <w:color w:val="000000"/>
        </w:rPr>
        <w:t xml:space="preserve"> привлечения </w:t>
      </w:r>
      <w:r w:rsidR="00D80C42">
        <w:rPr>
          <w:rFonts w:ascii="Times New Roman" w:hAnsi="Times New Roman"/>
          <w:color w:val="000000"/>
        </w:rPr>
        <w:t>с</w:t>
      </w:r>
      <w:r w:rsidR="00BE78B8">
        <w:rPr>
          <w:rFonts w:ascii="Times New Roman" w:hAnsi="Times New Roman"/>
          <w:color w:val="000000"/>
        </w:rPr>
        <w:t>уб</w:t>
      </w:r>
      <w:r w:rsidR="00D80C42">
        <w:rPr>
          <w:rFonts w:ascii="Times New Roman" w:hAnsi="Times New Roman"/>
          <w:color w:val="000000"/>
        </w:rPr>
        <w:t>подрядчика</w:t>
      </w:r>
      <w:r w:rsidR="00642983">
        <w:rPr>
          <w:rFonts w:ascii="Times New Roman" w:hAnsi="Times New Roman"/>
          <w:color w:val="000000"/>
        </w:rPr>
        <w:t>,</w:t>
      </w:r>
      <w:r w:rsidR="00BE78B8">
        <w:rPr>
          <w:rFonts w:ascii="Times New Roman" w:hAnsi="Times New Roman"/>
          <w:color w:val="000000"/>
        </w:rPr>
        <w:t xml:space="preserve"> для последующего допуска на объекты производственной деятельности ООО «БНГРЭ</w:t>
      </w:r>
      <w:r w:rsidR="00D80C42">
        <w:rPr>
          <w:rFonts w:ascii="Times New Roman" w:hAnsi="Times New Roman"/>
          <w:color w:val="000000"/>
        </w:rPr>
        <w:t>»</w:t>
      </w:r>
      <w:r w:rsidR="00042B26" w:rsidRPr="001941E6">
        <w:rPr>
          <w:rFonts w:ascii="Times New Roman" w:hAnsi="Times New Roman"/>
          <w:color w:val="000000"/>
        </w:rPr>
        <w:t>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</w:t>
      </w:r>
      <w:r w:rsidR="00FD61B5">
        <w:rPr>
          <w:rFonts w:ascii="Times New Roman" w:hAnsi="Times New Roman"/>
          <w:color w:val="000000"/>
        </w:rPr>
        <w:t xml:space="preserve"> согласования привлечения </w:t>
      </w:r>
      <w:r w:rsidR="00D80C42">
        <w:rPr>
          <w:rFonts w:ascii="Times New Roman" w:hAnsi="Times New Roman"/>
          <w:color w:val="000000"/>
        </w:rPr>
        <w:t>с</w:t>
      </w:r>
      <w:r w:rsidR="00FD61B5">
        <w:rPr>
          <w:rFonts w:ascii="Times New Roman" w:hAnsi="Times New Roman"/>
          <w:color w:val="000000"/>
        </w:rPr>
        <w:t>уб</w:t>
      </w:r>
      <w:r w:rsidR="00D80C42">
        <w:rPr>
          <w:rFonts w:ascii="Times New Roman" w:hAnsi="Times New Roman"/>
          <w:color w:val="000000"/>
        </w:rPr>
        <w:t>подрядчика</w:t>
      </w:r>
      <w:r w:rsidR="00FD61B5">
        <w:rPr>
          <w:rFonts w:ascii="Times New Roman" w:hAnsi="Times New Roman"/>
          <w:color w:val="000000"/>
        </w:rPr>
        <w:t>.</w:t>
      </w:r>
      <w:r w:rsidR="000778C2" w:rsidRPr="001941E6">
        <w:rPr>
          <w:rFonts w:ascii="Times New Roman" w:hAnsi="Times New Roman"/>
          <w:color w:val="000000"/>
        </w:rPr>
        <w:t xml:space="preserve">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1941E6">
        <w:rPr>
          <w:rFonts w:ascii="Times New Roman" w:hAnsi="Times New Roman"/>
          <w:i/>
          <w:szCs w:val="22"/>
        </w:rPr>
        <w:lastRenderedPageBreak/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0F12B1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>ООО «БНГРЭ», участвующие в процессе проверки</w:t>
      </w:r>
      <w:r w:rsidR="000F12B1">
        <w:rPr>
          <w:rFonts w:ascii="Times New Roman" w:hAnsi="Times New Roman"/>
        </w:rPr>
        <w:t xml:space="preserve"> предприятия привлекаемого в качестве </w:t>
      </w:r>
      <w:r w:rsidR="00D80C42">
        <w:rPr>
          <w:rFonts w:ascii="Times New Roman" w:hAnsi="Times New Roman"/>
        </w:rPr>
        <w:t>с</w:t>
      </w:r>
      <w:r w:rsidR="000F12B1">
        <w:rPr>
          <w:rFonts w:ascii="Times New Roman" w:hAnsi="Times New Roman"/>
        </w:rPr>
        <w:t>уб</w:t>
      </w:r>
      <w:r w:rsidR="00D80C42">
        <w:rPr>
          <w:rFonts w:ascii="Times New Roman" w:hAnsi="Times New Roman"/>
        </w:rPr>
        <w:t>подрядчика</w:t>
      </w:r>
      <w:r w:rsidR="00B46C79" w:rsidRPr="001941E6">
        <w:rPr>
          <w:rFonts w:ascii="Times New Roman" w:hAnsi="Times New Roman"/>
        </w:rPr>
        <w:t xml:space="preserve"> к выполнению работ</w:t>
      </w:r>
      <w:r w:rsidR="00D80C42">
        <w:rPr>
          <w:rFonts w:ascii="Times New Roman" w:hAnsi="Times New Roman"/>
        </w:rPr>
        <w:t>,</w:t>
      </w:r>
      <w:r w:rsidR="00B46C79" w:rsidRPr="001941E6">
        <w:rPr>
          <w:rFonts w:ascii="Times New Roman" w:hAnsi="Times New Roman"/>
        </w:rPr>
        <w:t xml:space="preserve"> оказанию услуг на объектах производственной деятельности ООО «БНГРЭ»</w:t>
      </w:r>
      <w:r w:rsidRPr="001941E6">
        <w:rPr>
          <w:rFonts w:ascii="Times New Roman" w:hAnsi="Times New Roman"/>
        </w:rPr>
        <w:t>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5"/>
    </w:p>
    <w:p w:rsidR="00C27494" w:rsidRPr="001941E6" w:rsidRDefault="00291FFE" w:rsidP="00D80C42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1941E6">
        <w:rPr>
          <w:rFonts w:ascii="Times New Roman" w:hAnsi="Times New Roman"/>
        </w:rPr>
        <w:t xml:space="preserve">ПОРЯДОК ПРОВЕРКИ СВЕДЕНИЙ О </w:t>
      </w:r>
      <w:r w:rsidR="00D80C42">
        <w:rPr>
          <w:rFonts w:ascii="Times New Roman" w:hAnsi="Times New Roman"/>
        </w:rPr>
        <w:t xml:space="preserve">СУБПОДРЯДЧИКАХ </w:t>
      </w:r>
      <w:r w:rsidRPr="001941E6">
        <w:rPr>
          <w:rFonts w:ascii="Times New Roman" w:hAnsi="Times New Roman"/>
        </w:rPr>
        <w:t xml:space="preserve">ПОДРЯДНЫХ ОРГАНИЗАЦИЙ ДЛЯ </w:t>
      </w:r>
      <w:bookmarkEnd w:id="7"/>
      <w:r w:rsidR="00D80C42">
        <w:rPr>
          <w:rFonts w:ascii="Times New Roman" w:hAnsi="Times New Roman"/>
        </w:rPr>
        <w:t>ДОПУСКА НА ОБЪЕКТЫ ПРОИЗВОДСТВЕННОЙ ДЕЯТЕЛЬНОСТИ ООО «БНГРЭ»</w:t>
      </w:r>
    </w:p>
    <w:p w:rsidR="00C27494" w:rsidRPr="00AC141F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C141F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C141F">
        <w:rPr>
          <w:rFonts w:ascii="Times New Roman" w:hAnsi="Times New Roman"/>
        </w:rPr>
        <w:t>10</w:t>
      </w:r>
      <w:r w:rsidRPr="00AC141F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Default="0088193B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Сопроводительное письмо на бланке организации об согласовании привлечения субподрядчика, с указанием договора в рамках которого планируется выполнение работ, оказания услуг, объектов выполнения работ, оказания услуг, наличие отсутствие пропусков на объекты месторождения</w:t>
      </w:r>
      <w:r w:rsidR="00C27494" w:rsidRPr="007A5894">
        <w:rPr>
          <w:rFonts w:ascii="Times New Roman" w:hAnsi="Times New Roman"/>
          <w:color w:val="000000" w:themeColor="text1"/>
        </w:rPr>
        <w:t>;</w:t>
      </w:r>
    </w:p>
    <w:p w:rsidR="0088193B" w:rsidRPr="0088193B" w:rsidRDefault="0088193B" w:rsidP="0088193B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Анкета – заявка на прохождение аккредитации по упрощенной процедуре</w:t>
      </w:r>
      <w:r w:rsidRPr="007A5894">
        <w:rPr>
          <w:rFonts w:ascii="Times New Roman" w:hAnsi="Times New Roman"/>
          <w:color w:val="000000" w:themeColor="text1"/>
        </w:rPr>
        <w:t xml:space="preserve"> (</w:t>
      </w:r>
      <w:r w:rsidR="00FE02BE">
        <w:fldChar w:fldCharType="begin"/>
      </w:r>
      <w:r w:rsidR="00FE02BE">
        <w:instrText xml:space="preserve"> REF _Ref491251182 \h  \* MERGEFORMAT </w:instrText>
      </w:r>
      <w:r w:rsidR="00FE02BE">
        <w:fldChar w:fldCharType="separate"/>
      </w:r>
      <w:r w:rsidRPr="007A5894">
        <w:rPr>
          <w:rFonts w:ascii="Times New Roman" w:hAnsi="Times New Roman"/>
          <w:color w:val="000000" w:themeColor="text1"/>
        </w:rPr>
        <w:t>Приложение 2</w:t>
      </w:r>
      <w:r w:rsidR="00FE02BE"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в формате </w:t>
      </w:r>
      <w:r w:rsidRPr="007A5894">
        <w:rPr>
          <w:rFonts w:ascii="Times New Roman" w:hAnsi="Times New Roman"/>
          <w:color w:val="000000" w:themeColor="text1"/>
          <w:lang w:val="en-US"/>
        </w:rPr>
        <w:t>pdf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0B46EA">
        <w:rPr>
          <w:rFonts w:ascii="Times New Roman" w:hAnsi="Times New Roman"/>
          <w:color w:val="000000" w:themeColor="text1"/>
        </w:rPr>
        <w:t>суб</w:t>
      </w:r>
      <w:r w:rsidR="00F24F63" w:rsidRPr="007A5894">
        <w:rPr>
          <w:rFonts w:ascii="Times New Roman" w:hAnsi="Times New Roman"/>
          <w:color w:val="000000" w:themeColor="text1"/>
        </w:rPr>
        <w:t>подрядной организации</w:t>
      </w:r>
      <w:r w:rsidR="00EF5BB2">
        <w:rPr>
          <w:rFonts w:ascii="Times New Roman" w:hAnsi="Times New Roman"/>
          <w:color w:val="000000" w:themeColor="text1"/>
        </w:rPr>
        <w:t>, с предоставлением скан-образов пропусков при их наличии</w:t>
      </w:r>
      <w:r w:rsidR="00F24F63" w:rsidRPr="007A5894"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>(</w:t>
      </w:r>
      <w:r w:rsidR="000B46EA">
        <w:rPr>
          <w:rFonts w:ascii="Times New Roman" w:hAnsi="Times New Roman"/>
          <w:color w:val="000000" w:themeColor="text1"/>
        </w:rPr>
        <w:t>Приложение 3</w:t>
      </w:r>
      <w:r w:rsidR="00F24F63" w:rsidRPr="007A5894">
        <w:rPr>
          <w:rFonts w:ascii="Times New Roman" w:hAnsi="Times New Roman"/>
          <w:color w:val="000000" w:themeColor="text1"/>
        </w:rPr>
        <w:t>)</w:t>
      </w:r>
      <w:r w:rsidR="000B46EA">
        <w:rPr>
          <w:rFonts w:ascii="Times New Roman" w:hAnsi="Times New Roman"/>
          <w:color w:val="000000" w:themeColor="text1"/>
        </w:rPr>
        <w:t xml:space="preserve"> </w:t>
      </w:r>
      <w:r w:rsidR="00F24F63" w:rsidRPr="007A5894">
        <w:rPr>
          <w:rFonts w:ascii="Times New Roman" w:hAnsi="Times New Roman"/>
          <w:color w:val="000000" w:themeColor="text1"/>
        </w:rPr>
        <w:t xml:space="preserve">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8D163B">
        <w:rPr>
          <w:rFonts w:ascii="Times New Roman" w:hAnsi="Times New Roman"/>
          <w:color w:val="000000" w:themeColor="text1"/>
        </w:rPr>
        <w:t>;</w:t>
      </w:r>
    </w:p>
    <w:p w:rsidR="000B46EA" w:rsidRDefault="000B46EA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</w:t>
      </w:r>
      <w:r w:rsidR="00520E30">
        <w:rPr>
          <w:rFonts w:ascii="Times New Roman" w:hAnsi="Times New Roman"/>
          <w:color w:val="000000" w:themeColor="text1"/>
        </w:rPr>
        <w:t>технике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суб</w:t>
      </w:r>
      <w:r w:rsidRPr="007A5894">
        <w:rPr>
          <w:rFonts w:ascii="Times New Roman" w:hAnsi="Times New Roman"/>
          <w:color w:val="000000" w:themeColor="text1"/>
        </w:rPr>
        <w:t>подрядной организации</w:t>
      </w:r>
      <w:r w:rsidR="00EF5BB2">
        <w:rPr>
          <w:rFonts w:ascii="Times New Roman" w:hAnsi="Times New Roman"/>
          <w:color w:val="000000" w:themeColor="text1"/>
        </w:rPr>
        <w:t>, с предоставлением скан-образов пропусков при их наличии</w:t>
      </w:r>
      <w:r w:rsidRPr="007A5894">
        <w:rPr>
          <w:rFonts w:ascii="Times New Roman" w:hAnsi="Times New Roman"/>
          <w:color w:val="000000" w:themeColor="text1"/>
        </w:rPr>
        <w:t xml:space="preserve"> (</w:t>
      </w:r>
      <w:r>
        <w:rPr>
          <w:rFonts w:ascii="Times New Roman" w:hAnsi="Times New Roman"/>
          <w:color w:val="000000" w:themeColor="text1"/>
        </w:rPr>
        <w:t xml:space="preserve">Приложение </w:t>
      </w:r>
      <w:r w:rsidR="00545EFE">
        <w:rPr>
          <w:rFonts w:ascii="Times New Roman" w:hAnsi="Times New Roman"/>
          <w:color w:val="000000" w:themeColor="text1"/>
        </w:rPr>
        <w:t>4</w:t>
      </w:r>
      <w:r w:rsidRPr="007A5894">
        <w:rPr>
          <w:rFonts w:ascii="Times New Roman" w:hAnsi="Times New Roman"/>
          <w:color w:val="000000" w:themeColor="text1"/>
        </w:rPr>
        <w:t>)</w:t>
      </w:r>
      <w:r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 xml:space="preserve">- в формате </w:t>
      </w:r>
      <w:r w:rsidRPr="007A5894">
        <w:rPr>
          <w:rFonts w:ascii="Times New Roman" w:hAnsi="Times New Roman"/>
          <w:color w:val="000000" w:themeColor="text1"/>
          <w:lang w:val="en-US"/>
        </w:rPr>
        <w:t>pdf</w:t>
      </w:r>
      <w:r w:rsidRPr="007A5894">
        <w:rPr>
          <w:rFonts w:ascii="Times New Roman" w:hAnsi="Times New Roman"/>
          <w:color w:val="000000" w:themeColor="text1"/>
        </w:rPr>
        <w:t xml:space="preserve"> и </w:t>
      </w:r>
      <w:r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8D163B">
        <w:rPr>
          <w:rFonts w:ascii="Times New Roman" w:hAnsi="Times New Roman"/>
          <w:color w:val="000000" w:themeColor="text1"/>
        </w:rPr>
        <w:t>;</w:t>
      </w:r>
    </w:p>
    <w:p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Документ, подтверждающий полномочия лица, заверяющего документы для аккредитации (приказ/доверенность)</w:t>
      </w:r>
      <w:r>
        <w:rPr>
          <w:rFonts w:ascii="Times New Roman" w:hAnsi="Times New Roman"/>
          <w:color w:val="000000" w:themeColor="text1"/>
        </w:rPr>
        <w:t>;</w:t>
      </w:r>
    </w:p>
    <w:p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Сведения о цепочке собственников, включая конечных бенефициаров (не запрашивается в отношении индивидуальных предпринимателей</w:t>
      </w:r>
      <w:r w:rsidR="0082602C">
        <w:rPr>
          <w:rStyle w:val="af7"/>
          <w:color w:val="000000" w:themeColor="text1"/>
        </w:rPr>
        <w:footnoteReference w:id="1"/>
      </w:r>
      <w:r>
        <w:rPr>
          <w:rFonts w:ascii="Times New Roman" w:hAnsi="Times New Roman"/>
          <w:color w:val="000000" w:themeColor="text1"/>
        </w:rPr>
        <w:t xml:space="preserve"> (Приложение 5)</w:t>
      </w:r>
      <w:r w:rsidR="0082602C">
        <w:rPr>
          <w:rFonts w:ascii="Times New Roman" w:hAnsi="Times New Roman"/>
          <w:color w:val="000000" w:themeColor="text1"/>
        </w:rPr>
        <w:t>);</w:t>
      </w:r>
    </w:p>
    <w:p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Лицензия на данный вид деятельности, если он подлежит обязательному лицензированию в соответствие с действующим законодательством РФ, сертификат</w:t>
      </w:r>
      <w:r w:rsidR="00A9754D">
        <w:rPr>
          <w:rFonts w:ascii="Times New Roman" w:hAnsi="Times New Roman"/>
          <w:color w:val="000000" w:themeColor="text1"/>
        </w:rPr>
        <w:t>;</w:t>
      </w:r>
    </w:p>
    <w:p w:rsidR="002831D1" w:rsidRDefault="002831D1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Гарантийное письмо об согласии соблюдать требования Положения Компании «Си</w:t>
      </w:r>
      <w:r w:rsidR="00F83BBA">
        <w:rPr>
          <w:rFonts w:ascii="Times New Roman" w:hAnsi="Times New Roman"/>
          <w:color w:val="000000" w:themeColor="text1"/>
        </w:rPr>
        <w:t>стема управления безопасной эксплуатацией транспортных средств»</w:t>
      </w:r>
      <w:r>
        <w:rPr>
          <w:rFonts w:ascii="Times New Roman" w:hAnsi="Times New Roman"/>
          <w:color w:val="000000" w:themeColor="text1"/>
        </w:rPr>
        <w:t xml:space="preserve"> </w:t>
      </w:r>
    </w:p>
    <w:p w:rsidR="00030BD2" w:rsidRPr="00143896" w:rsidRDefault="00030BD2" w:rsidP="008907B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Наличие утвержденной Системы управления охраной труда и промышленной безопасностью</w:t>
      </w:r>
    </w:p>
    <w:p w:rsidR="00661421" w:rsidRPr="00143896" w:rsidRDefault="00030BD2" w:rsidP="00D95F19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 xml:space="preserve">Наличие обученного и аттестованного (прошедшего проверку знаний) персонала, </w:t>
      </w:r>
      <w:r w:rsidRPr="00143896">
        <w:rPr>
          <w:rFonts w:ascii="Times New Roman" w:hAnsi="Times New Roman"/>
          <w:szCs w:val="22"/>
        </w:rPr>
        <w:t>планируемого к выполнению работ</w:t>
      </w:r>
      <w:r w:rsidRPr="00143896">
        <w:rPr>
          <w:rFonts w:ascii="Times New Roman" w:hAnsi="Times New Roman"/>
          <w:color w:val="000000"/>
          <w:szCs w:val="22"/>
        </w:rPr>
        <w:t xml:space="preserve">/услуг, в соответствии с требованиями по охране труда, промышленной, </w:t>
      </w:r>
      <w:r w:rsidRPr="00143896">
        <w:rPr>
          <w:rFonts w:ascii="Times New Roman" w:hAnsi="Times New Roman"/>
          <w:color w:val="000000"/>
          <w:szCs w:val="22"/>
        </w:rPr>
        <w:lastRenderedPageBreak/>
        <w:t>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программам пожарно-технического минимума, на соответствующую группу по электробезопасности, по необходимым курсам целевого назначения</w:t>
      </w:r>
      <w:r w:rsidR="00661421" w:rsidRPr="00143896">
        <w:rPr>
          <w:rFonts w:ascii="Times New Roman" w:hAnsi="Times New Roman"/>
          <w:color w:val="000000"/>
          <w:szCs w:val="22"/>
        </w:rPr>
        <w:t>).</w:t>
      </w:r>
    </w:p>
    <w:p w:rsidR="00661421" w:rsidRPr="00143896" w:rsidRDefault="00661421" w:rsidP="00661421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При численности работников участника закупки более 50 человек - наличие службы по охране труда или  специалиста, имеющего соответствующую подготовку/опыт работы в этой области.</w:t>
      </w:r>
      <w:r w:rsidRPr="00143896">
        <w:rPr>
          <w:rFonts w:ascii="Times New Roman" w:hAnsi="Times New Roman"/>
          <w:color w:val="000000"/>
          <w:szCs w:val="22"/>
        </w:rPr>
        <w:br/>
        <w:t>При численности работников не более 50 человек -  наличие службы ОТ или специалиста по охране труда с учетом специфики  производственной деятельности.</w:t>
      </w:r>
      <w:r w:rsidRPr="00143896">
        <w:rPr>
          <w:rFonts w:ascii="Times New Roman" w:hAnsi="Times New Roman"/>
          <w:color w:val="000000"/>
          <w:szCs w:val="22"/>
        </w:rPr>
        <w:br/>
        <w:t>При отсутствии у участника службы охраны труда, штатного специалиста по охране труда - осуществление данных функций работодателем - индивидуальным предпринимателем, другим уполномоченным работником либо организацией или специалистом по договору.</w:t>
      </w:r>
    </w:p>
    <w:p w:rsidR="00661421" w:rsidRPr="00143896" w:rsidRDefault="00661421" w:rsidP="00661421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Обеспеченность работников, планируемых к привлечению для оказания услуг/выполнения работ средствами индивидуальной защиты в соответствии с требованиями законодательства РФ.</w:t>
      </w:r>
    </w:p>
    <w:p w:rsidR="00A9754D" w:rsidRPr="00143896" w:rsidRDefault="00661421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Соблюдение требований законодательства в части прохождения работниками, планируемых к привлечению для оказания услуг/выполнения работ,  обязательных предварительных и периодических медицинских осмотров.</w:t>
      </w:r>
    </w:p>
    <w:p w:rsidR="0018757B" w:rsidRPr="00143896" w:rsidRDefault="0018757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Наличие инструкций по профессиям и видам работ, программ инструктажей по выполнению работ/услуг, которые будут выполняться/оказываться.</w:t>
      </w:r>
    </w:p>
    <w:p w:rsidR="0018757B" w:rsidRPr="00143896" w:rsidRDefault="0018757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szCs w:val="22"/>
        </w:rPr>
        <w:t>Организация проведения (медицинскими работниками лицензированной организации) предрейсового и послерейсового медицинского осмотра водителей, привлекаемых для выполнения работ/оказанию услуг.</w:t>
      </w:r>
    </w:p>
    <w:p w:rsidR="00E978AE" w:rsidRDefault="00E978AE" w:rsidP="00E978AE">
      <w:pPr>
        <w:tabs>
          <w:tab w:val="left" w:pos="567"/>
        </w:tabs>
        <w:spacing w:before="0"/>
        <w:jc w:val="both"/>
        <w:rPr>
          <w:rFonts w:ascii="Times New Roman" w:hAnsi="Times New Roman"/>
          <w:color w:val="000000" w:themeColor="text1"/>
        </w:rPr>
      </w:pPr>
    </w:p>
    <w:p w:rsidR="008D6064" w:rsidRDefault="008D6064" w:rsidP="00E978AE">
      <w:pPr>
        <w:tabs>
          <w:tab w:val="left" w:pos="567"/>
        </w:tabs>
        <w:spacing w:before="0"/>
        <w:jc w:val="both"/>
        <w:rPr>
          <w:rFonts w:ascii="Times New Roman" w:hAnsi="Times New Roman"/>
          <w:color w:val="000000" w:themeColor="text1"/>
        </w:rPr>
      </w:pPr>
    </w:p>
    <w:p w:rsidR="003640B4" w:rsidRPr="00AC141F" w:rsidRDefault="003640B4" w:rsidP="00AC14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Куратор договора</w:t>
      </w:r>
      <w:r w:rsidR="00F91213">
        <w:rPr>
          <w:rFonts w:ascii="Times New Roman" w:hAnsi="Times New Roman"/>
          <w:color w:val="000000" w:themeColor="text1"/>
        </w:rPr>
        <w:t>, при получении письма от подрядчика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 w:rsidR="009A0E38">
        <w:rPr>
          <w:rFonts w:ascii="Times New Roman" w:hAnsi="Times New Roman"/>
          <w:color w:val="000000" w:themeColor="text1"/>
        </w:rPr>
        <w:t>о согласовании субподрядной организации</w:t>
      </w:r>
      <w:r w:rsidR="009A0E38" w:rsidRPr="007A5894"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822029">
        <w:rPr>
          <w:rFonts w:ascii="Times New Roman" w:hAnsi="Times New Roman"/>
          <w:color w:val="000000" w:themeColor="text1"/>
        </w:rPr>
        <w:t>2</w:t>
      </w:r>
      <w:r w:rsidRPr="007A5894">
        <w:rPr>
          <w:rFonts w:ascii="Times New Roman" w:hAnsi="Times New Roman"/>
          <w:color w:val="000000" w:themeColor="text1"/>
        </w:rPr>
        <w:t xml:space="preserve"> рабоч</w:t>
      </w:r>
      <w:r w:rsidR="00822029">
        <w:rPr>
          <w:rFonts w:ascii="Times New Roman" w:hAnsi="Times New Roman"/>
          <w:color w:val="000000" w:themeColor="text1"/>
        </w:rPr>
        <w:t>их</w:t>
      </w:r>
      <w:r w:rsidRPr="007A5894">
        <w:rPr>
          <w:rFonts w:ascii="Times New Roman" w:hAnsi="Times New Roman"/>
          <w:color w:val="000000" w:themeColor="text1"/>
        </w:rPr>
        <w:t xml:space="preserve"> дн</w:t>
      </w:r>
      <w:r w:rsidR="00822029">
        <w:rPr>
          <w:rFonts w:ascii="Times New Roman" w:hAnsi="Times New Roman"/>
          <w:color w:val="000000" w:themeColor="text1"/>
        </w:rPr>
        <w:t xml:space="preserve">ей направляет </w:t>
      </w:r>
      <w:r w:rsidR="00AC141F">
        <w:rPr>
          <w:rFonts w:ascii="Times New Roman" w:hAnsi="Times New Roman"/>
          <w:color w:val="000000" w:themeColor="text1"/>
        </w:rPr>
        <w:t>заместителю генерального директора по экономической безопасности</w:t>
      </w:r>
      <w:r w:rsidR="00822029">
        <w:rPr>
          <w:rFonts w:ascii="Times New Roman" w:hAnsi="Times New Roman"/>
          <w:color w:val="000000" w:themeColor="text1"/>
        </w:rPr>
        <w:t xml:space="preserve"> и </w:t>
      </w:r>
      <w:r w:rsidR="00C27EA7">
        <w:rPr>
          <w:rFonts w:ascii="Times New Roman" w:hAnsi="Times New Roman"/>
          <w:color w:val="000000" w:themeColor="text1"/>
        </w:rPr>
        <w:t>з</w:t>
      </w:r>
      <w:r w:rsidR="00AC141F" w:rsidRPr="00AC141F">
        <w:rPr>
          <w:rFonts w:ascii="Times New Roman" w:hAnsi="Times New Roman"/>
          <w:color w:val="000000" w:themeColor="text1"/>
        </w:rPr>
        <w:t>аместитель генерального директора по ОТ, ПБ и ООС</w:t>
      </w:r>
      <w:r w:rsidR="00F91213">
        <w:rPr>
          <w:rFonts w:ascii="Times New Roman" w:hAnsi="Times New Roman"/>
          <w:color w:val="000000" w:themeColor="text1"/>
        </w:rPr>
        <w:t xml:space="preserve"> служебную записку о проведении проверки потенциального субподряд</w:t>
      </w:r>
      <w:r w:rsidR="00AC141F">
        <w:rPr>
          <w:rFonts w:ascii="Times New Roman" w:hAnsi="Times New Roman"/>
          <w:color w:val="000000" w:themeColor="text1"/>
        </w:rPr>
        <w:t>чика и согласования с приложением полученного пакета документов</w:t>
      </w:r>
      <w:r w:rsidR="00DA1A60">
        <w:rPr>
          <w:rFonts w:ascii="Times New Roman" w:hAnsi="Times New Roman"/>
          <w:color w:val="000000" w:themeColor="text1"/>
        </w:rPr>
        <w:t xml:space="preserve"> в системе «1С: Документооборот»</w:t>
      </w:r>
      <w:r w:rsidR="00AC141F">
        <w:rPr>
          <w:rFonts w:ascii="Times New Roman" w:hAnsi="Times New Roman"/>
          <w:color w:val="000000" w:themeColor="text1"/>
        </w:rPr>
        <w:t>.</w:t>
      </w:r>
    </w:p>
    <w:p w:rsidR="003640B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Лица, ответственные за проверку сведений о </w:t>
      </w:r>
      <w:r w:rsidR="00AC141F">
        <w:rPr>
          <w:rFonts w:ascii="Times New Roman" w:hAnsi="Times New Roman"/>
          <w:color w:val="000000" w:themeColor="text1"/>
        </w:rPr>
        <w:t>субподрядчиках</w:t>
      </w:r>
      <w:r w:rsidRPr="007A5894">
        <w:rPr>
          <w:rFonts w:ascii="Times New Roman" w:hAnsi="Times New Roman"/>
          <w:color w:val="000000" w:themeColor="text1"/>
        </w:rPr>
        <w:t xml:space="preserve"> подрядных организаций в пределах своей компетенций (</w:t>
      </w:r>
      <w:r w:rsidR="00FE02BE">
        <w:fldChar w:fldCharType="begin"/>
      </w:r>
      <w:r w:rsidR="00FE02BE">
        <w:instrText xml:space="preserve"> REF _Ref491175870 \h  \* MERGEFORMAT </w:instrText>
      </w:r>
      <w:r w:rsidR="00FE02BE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2</w:t>
      </w:r>
      <w:r w:rsidR="00FE02BE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</w:t>
      </w:r>
      <w:r w:rsidR="00AC141F">
        <w:rPr>
          <w:rFonts w:ascii="Times New Roman" w:hAnsi="Times New Roman"/>
          <w:color w:val="000000" w:themeColor="text1"/>
        </w:rPr>
        <w:t xml:space="preserve"> предоставить</w:t>
      </w:r>
      <w:r w:rsidR="00C27EA7">
        <w:rPr>
          <w:rFonts w:ascii="Times New Roman" w:hAnsi="Times New Roman"/>
          <w:color w:val="000000" w:themeColor="text1"/>
        </w:rPr>
        <w:t xml:space="preserve"> мотивированный</w:t>
      </w:r>
      <w:r w:rsidR="00AC141F">
        <w:rPr>
          <w:rFonts w:ascii="Times New Roman" w:hAnsi="Times New Roman"/>
          <w:color w:val="000000" w:themeColor="text1"/>
        </w:rPr>
        <w:t xml:space="preserve"> ответ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 w:rsidR="00AC141F">
        <w:rPr>
          <w:rFonts w:ascii="Times New Roman" w:hAnsi="Times New Roman"/>
          <w:color w:val="000000" w:themeColor="text1"/>
        </w:rPr>
        <w:t>о согласовании либо несогласовании проверяемого лица</w:t>
      </w:r>
      <w:r w:rsidR="008026B2" w:rsidRPr="007A5894">
        <w:rPr>
          <w:rFonts w:ascii="Times New Roman" w:hAnsi="Times New Roman"/>
          <w:color w:val="000000" w:themeColor="text1"/>
        </w:rPr>
        <w:t>.</w:t>
      </w:r>
    </w:p>
    <w:p w:rsidR="00BC5776" w:rsidRDefault="009A0E38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Куратор договора</w:t>
      </w:r>
      <w:r>
        <w:rPr>
          <w:rFonts w:ascii="Times New Roman" w:hAnsi="Times New Roman"/>
          <w:color w:val="000000" w:themeColor="text1"/>
        </w:rPr>
        <w:t>, при получении положительных заключений</w:t>
      </w:r>
      <w:r w:rsidR="003C14B0">
        <w:rPr>
          <w:rFonts w:ascii="Times New Roman" w:hAnsi="Times New Roman"/>
          <w:color w:val="000000" w:themeColor="text1"/>
        </w:rPr>
        <w:t xml:space="preserve"> от </w:t>
      </w:r>
      <w:r w:rsidR="003C14B0" w:rsidRPr="003C14B0">
        <w:rPr>
          <w:rFonts w:ascii="Times New Roman" w:hAnsi="Times New Roman"/>
          <w:color w:val="000000" w:themeColor="text1"/>
        </w:rPr>
        <w:t>заместител</w:t>
      </w:r>
      <w:r w:rsidR="003C14B0">
        <w:rPr>
          <w:rFonts w:ascii="Times New Roman" w:hAnsi="Times New Roman"/>
          <w:color w:val="000000" w:themeColor="text1"/>
        </w:rPr>
        <w:t>я</w:t>
      </w:r>
      <w:r w:rsidR="003C14B0" w:rsidRPr="003C14B0">
        <w:rPr>
          <w:rFonts w:ascii="Times New Roman" w:hAnsi="Times New Roman"/>
          <w:color w:val="000000" w:themeColor="text1"/>
        </w:rPr>
        <w:t xml:space="preserve"> генерального директора по экономической безопасности и </w:t>
      </w:r>
      <w:r w:rsidR="00C27EA7">
        <w:rPr>
          <w:rFonts w:ascii="Times New Roman" w:hAnsi="Times New Roman"/>
          <w:color w:val="000000" w:themeColor="text1"/>
        </w:rPr>
        <w:t>з</w:t>
      </w:r>
      <w:r w:rsidR="003C14B0" w:rsidRPr="003C14B0">
        <w:rPr>
          <w:rFonts w:ascii="Times New Roman" w:hAnsi="Times New Roman"/>
          <w:color w:val="000000" w:themeColor="text1"/>
        </w:rPr>
        <w:t>аместитель генерального директора по ОТ, ПБ и ООС</w:t>
      </w:r>
      <w:r>
        <w:rPr>
          <w:rFonts w:ascii="Times New Roman" w:hAnsi="Times New Roman"/>
          <w:color w:val="000000" w:themeColor="text1"/>
        </w:rPr>
        <w:t>,</w:t>
      </w:r>
      <w:r w:rsidR="00E049D7">
        <w:rPr>
          <w:rFonts w:ascii="Times New Roman" w:hAnsi="Times New Roman"/>
          <w:color w:val="000000" w:themeColor="text1"/>
        </w:rPr>
        <w:t xml:space="preserve"> в срок до 2</w:t>
      </w:r>
      <w:r w:rsidR="00C27EA7">
        <w:rPr>
          <w:rFonts w:ascii="Times New Roman" w:hAnsi="Times New Roman"/>
          <w:color w:val="000000" w:themeColor="text1"/>
        </w:rPr>
        <w:t>-</w:t>
      </w:r>
      <w:r w:rsidR="00E049D7">
        <w:rPr>
          <w:rFonts w:ascii="Times New Roman" w:hAnsi="Times New Roman"/>
          <w:color w:val="000000" w:themeColor="text1"/>
        </w:rPr>
        <w:t>х рабочих дней</w:t>
      </w:r>
      <w:r>
        <w:rPr>
          <w:rFonts w:ascii="Times New Roman" w:hAnsi="Times New Roman"/>
          <w:color w:val="000000" w:themeColor="text1"/>
        </w:rPr>
        <w:t xml:space="preserve"> направляет заказчику </w:t>
      </w:r>
      <w:r w:rsidR="00357BFC">
        <w:rPr>
          <w:rFonts w:ascii="Times New Roman" w:hAnsi="Times New Roman"/>
          <w:color w:val="000000" w:themeColor="text1"/>
        </w:rPr>
        <w:t xml:space="preserve">пакет документов </w:t>
      </w:r>
      <w:r w:rsidR="00E049D7">
        <w:rPr>
          <w:rFonts w:ascii="Times New Roman" w:hAnsi="Times New Roman"/>
          <w:color w:val="000000" w:themeColor="text1"/>
        </w:rPr>
        <w:t>для результирующего согласования привлечения подрядчиком субподрядной организации с приложением необходимых документов.</w:t>
      </w:r>
    </w:p>
    <w:p w:rsidR="004C5192" w:rsidRDefault="004C5192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При получении куратором договора отрицательн</w:t>
      </w:r>
      <w:r w:rsidR="00C27EA7">
        <w:rPr>
          <w:rFonts w:ascii="Times New Roman" w:hAnsi="Times New Roman"/>
          <w:color w:val="000000" w:themeColor="text1"/>
        </w:rPr>
        <w:t>ого</w:t>
      </w:r>
      <w:r>
        <w:rPr>
          <w:rFonts w:ascii="Times New Roman" w:hAnsi="Times New Roman"/>
          <w:color w:val="000000" w:themeColor="text1"/>
        </w:rPr>
        <w:t xml:space="preserve"> заключени</w:t>
      </w:r>
      <w:r w:rsidR="00EB5E45">
        <w:rPr>
          <w:rFonts w:ascii="Times New Roman" w:hAnsi="Times New Roman"/>
          <w:color w:val="000000" w:themeColor="text1"/>
        </w:rPr>
        <w:t>я</w:t>
      </w:r>
      <w:r>
        <w:rPr>
          <w:rFonts w:ascii="Times New Roman" w:hAnsi="Times New Roman"/>
          <w:color w:val="000000" w:themeColor="text1"/>
        </w:rPr>
        <w:t xml:space="preserve"> от </w:t>
      </w:r>
      <w:r w:rsidRPr="003C14B0">
        <w:rPr>
          <w:rFonts w:ascii="Times New Roman" w:hAnsi="Times New Roman"/>
          <w:color w:val="000000" w:themeColor="text1"/>
        </w:rPr>
        <w:t>заместител</w:t>
      </w:r>
      <w:r>
        <w:rPr>
          <w:rFonts w:ascii="Times New Roman" w:hAnsi="Times New Roman"/>
          <w:color w:val="000000" w:themeColor="text1"/>
        </w:rPr>
        <w:t>я</w:t>
      </w:r>
      <w:r w:rsidRPr="003C14B0">
        <w:rPr>
          <w:rFonts w:ascii="Times New Roman" w:hAnsi="Times New Roman"/>
          <w:color w:val="000000" w:themeColor="text1"/>
        </w:rPr>
        <w:t xml:space="preserve"> генерального директора по экономической безопасности и</w:t>
      </w:r>
      <w:r w:rsidR="00C27EA7">
        <w:rPr>
          <w:rFonts w:ascii="Times New Roman" w:hAnsi="Times New Roman"/>
          <w:color w:val="000000" w:themeColor="text1"/>
        </w:rPr>
        <w:t xml:space="preserve"> (или)</w:t>
      </w:r>
      <w:r w:rsidRPr="003C14B0">
        <w:rPr>
          <w:rFonts w:ascii="Times New Roman" w:hAnsi="Times New Roman"/>
          <w:color w:val="000000" w:themeColor="text1"/>
        </w:rPr>
        <w:t xml:space="preserve"> </w:t>
      </w:r>
      <w:r w:rsidR="00C27EA7">
        <w:rPr>
          <w:rFonts w:ascii="Times New Roman" w:hAnsi="Times New Roman"/>
          <w:color w:val="000000" w:themeColor="text1"/>
        </w:rPr>
        <w:t>з</w:t>
      </w:r>
      <w:r w:rsidRPr="003C14B0">
        <w:rPr>
          <w:rFonts w:ascii="Times New Roman" w:hAnsi="Times New Roman"/>
          <w:color w:val="000000" w:themeColor="text1"/>
        </w:rPr>
        <w:t>аместител</w:t>
      </w:r>
      <w:r w:rsidR="00EB5E45">
        <w:rPr>
          <w:rFonts w:ascii="Times New Roman" w:hAnsi="Times New Roman"/>
          <w:color w:val="000000" w:themeColor="text1"/>
        </w:rPr>
        <w:t>я</w:t>
      </w:r>
      <w:r w:rsidRPr="003C14B0">
        <w:rPr>
          <w:rFonts w:ascii="Times New Roman" w:hAnsi="Times New Roman"/>
          <w:color w:val="000000" w:themeColor="text1"/>
        </w:rPr>
        <w:t xml:space="preserve"> генерального директора по ОТ, ПБ и ООС</w:t>
      </w:r>
      <w:r>
        <w:rPr>
          <w:rFonts w:ascii="Times New Roman" w:hAnsi="Times New Roman"/>
          <w:color w:val="000000" w:themeColor="text1"/>
        </w:rPr>
        <w:t>,</w:t>
      </w:r>
      <w:r w:rsidR="00C27EA7">
        <w:rPr>
          <w:rFonts w:ascii="Times New Roman" w:hAnsi="Times New Roman"/>
          <w:color w:val="000000" w:themeColor="text1"/>
        </w:rPr>
        <w:t xml:space="preserve"> куратором</w:t>
      </w:r>
      <w:r w:rsidR="00EB5E45">
        <w:rPr>
          <w:rFonts w:ascii="Times New Roman" w:hAnsi="Times New Roman"/>
          <w:color w:val="000000" w:themeColor="text1"/>
        </w:rPr>
        <w:t xml:space="preserve"> договора</w:t>
      </w:r>
      <w:r w:rsidR="00C27EA7">
        <w:rPr>
          <w:rFonts w:ascii="Times New Roman" w:hAnsi="Times New Roman"/>
          <w:color w:val="000000" w:themeColor="text1"/>
        </w:rPr>
        <w:t xml:space="preserve"> в течении 2-х рабочих дней</w:t>
      </w:r>
      <w:r>
        <w:rPr>
          <w:rFonts w:ascii="Times New Roman" w:hAnsi="Times New Roman"/>
          <w:color w:val="000000" w:themeColor="text1"/>
        </w:rPr>
        <w:t xml:space="preserve"> готовится </w:t>
      </w:r>
      <w:r w:rsidR="00C27EA7">
        <w:rPr>
          <w:rFonts w:ascii="Times New Roman" w:hAnsi="Times New Roman"/>
          <w:color w:val="000000" w:themeColor="text1"/>
        </w:rPr>
        <w:t xml:space="preserve">информационное письмо подрядчику о несогласовании представленного на согласование субподрядчика.  </w:t>
      </w:r>
    </w:p>
    <w:p w:rsidR="00E049D7" w:rsidRDefault="0053117F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При получении куратором договора ответа заказчика о согласовании либо не согласовании привлечения подрядчиком субподрядной организации, направляется соответствующее письмо в адрес подрядчика в срок не более 2-х рабочих дней.  </w:t>
      </w:r>
    </w:p>
    <w:p w:rsidR="008D65D4" w:rsidRPr="007A5894" w:rsidRDefault="00EB5E45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Блок схема </w:t>
      </w:r>
      <w:r w:rsidR="005D518A">
        <w:rPr>
          <w:rFonts w:ascii="Times New Roman" w:hAnsi="Times New Roman"/>
          <w:color w:val="000000" w:themeColor="text1"/>
        </w:rPr>
        <w:t xml:space="preserve">процесса согласования </w:t>
      </w:r>
      <w:r>
        <w:rPr>
          <w:rFonts w:ascii="Times New Roman" w:hAnsi="Times New Roman"/>
          <w:color w:val="000000" w:themeColor="text1"/>
        </w:rPr>
        <w:t>представлена в приложении  6</w:t>
      </w:r>
      <w:r w:rsidR="000809A7">
        <w:rPr>
          <w:rFonts w:ascii="Times New Roman" w:hAnsi="Times New Roman"/>
          <w:color w:val="000000" w:themeColor="text1"/>
        </w:rPr>
        <w:t>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C27494" w:rsidRPr="001941E6" w:rsidRDefault="00C27494" w:rsidP="00623392">
      <w:pPr>
        <w:pStyle w:val="aff7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t xml:space="preserve">Таблица </w:t>
      </w:r>
      <w:r w:rsidR="005329C6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5329C6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5329C6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0163C2" w:rsidRPr="001941E6" w:rsidTr="00ED26BC">
        <w:tc>
          <w:tcPr>
            <w:tcW w:w="2518" w:type="dxa"/>
            <w:shd w:val="clear" w:color="auto" w:fill="auto"/>
          </w:tcPr>
          <w:p w:rsidR="000163C2" w:rsidRPr="001941E6" w:rsidRDefault="000163C2" w:rsidP="00ED26B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9A0E38" w:rsidRDefault="009A0E38" w:rsidP="00ED26BC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Проводится проверка обоснованности привлечения субподрядчика в соответствии с договорными условиями</w:t>
            </w:r>
            <w:r w:rsidR="00EB5E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0E38" w:rsidRDefault="000163C2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направленных сведений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согласования субподрядчика.</w:t>
            </w:r>
            <w:r w:rsidR="009A0E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163C2" w:rsidRDefault="009A0E38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38">
              <w:rPr>
                <w:rFonts w:ascii="Times New Roman" w:hAnsi="Times New Roman"/>
                <w:sz w:val="20"/>
                <w:szCs w:val="20"/>
              </w:rPr>
              <w:lastRenderedPageBreak/>
              <w:t>При не полном пакете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имеющимся замечаниям</w:t>
            </w:r>
            <w:r w:rsidRPr="009A0E38">
              <w:rPr>
                <w:rFonts w:ascii="Times New Roman" w:hAnsi="Times New Roman"/>
                <w:sz w:val="20"/>
                <w:szCs w:val="20"/>
              </w:rPr>
              <w:t>, производится до запрос</w:t>
            </w:r>
            <w:r w:rsidR="0053117F">
              <w:rPr>
                <w:rFonts w:ascii="Times New Roman" w:hAnsi="Times New Roman"/>
                <w:sz w:val="20"/>
                <w:szCs w:val="20"/>
              </w:rPr>
              <w:t xml:space="preserve"> недостающих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A0E38" w:rsidRDefault="000163C2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наличии пропусков на работников и технику учитывает их как заявленных для выполнения работы, оказания услуг. </w:t>
            </w:r>
          </w:p>
          <w:p w:rsidR="00FF2EC8" w:rsidRDefault="00FF2EC8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на соответствие квалификационным и техническим требованиям</w:t>
            </w:r>
            <w:r w:rsidR="00EB5E4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B5E45" w:rsidRPr="001941E6" w:rsidRDefault="00EB5E45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 пакета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документов для внутреннего согласования и у заказчика.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</w:t>
            </w:r>
            <w:r w:rsidR="001371D3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BF5EB1" w:rsidRDefault="00BF5EB1" w:rsidP="00D0616F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рисков </w:t>
            </w:r>
            <w:r w:rsidR="00D0616F">
              <w:rPr>
                <w:rFonts w:ascii="Times New Roman" w:hAnsi="Times New Roman"/>
                <w:sz w:val="20"/>
                <w:szCs w:val="20"/>
              </w:rPr>
              <w:t xml:space="preserve">при привлечении </w:t>
            </w:r>
            <w:r w:rsidR="00D547DD">
              <w:rPr>
                <w:rFonts w:ascii="Times New Roman" w:hAnsi="Times New Roman"/>
                <w:sz w:val="20"/>
                <w:szCs w:val="20"/>
              </w:rPr>
              <w:t>субподрядчика на предмет возможности выполнения работ, оказания услуг и</w:t>
            </w:r>
            <w:r w:rsidR="00D0616F">
              <w:rPr>
                <w:rFonts w:ascii="Times New Roman" w:hAnsi="Times New Roman"/>
                <w:sz w:val="20"/>
                <w:szCs w:val="20"/>
              </w:rPr>
              <w:t xml:space="preserve"> «должной осмотрительности»</w:t>
            </w:r>
            <w:r w:rsidR="00D119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D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тдела </w:t>
            </w:r>
            <w:proofErr w:type="spellStart"/>
            <w:r w:rsidRPr="001941E6">
              <w:rPr>
                <w:rFonts w:ascii="Times New Roman" w:hAnsi="Times New Roman"/>
                <w:sz w:val="20"/>
                <w:szCs w:val="20"/>
              </w:rPr>
              <w:t>ОТ</w:t>
            </w:r>
            <w:r w:rsidR="00D6341E">
              <w:rPr>
                <w:rFonts w:ascii="Times New Roman" w:hAnsi="Times New Roman"/>
                <w:sz w:val="20"/>
                <w:szCs w:val="20"/>
              </w:rPr>
              <w:t>и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ПБ</w:t>
            </w:r>
            <w:proofErr w:type="spell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shd w:val="clear" w:color="auto" w:fill="auto"/>
          </w:tcPr>
          <w:p w:rsidR="00F83BBA" w:rsidRDefault="00FF2EC8" w:rsidP="000163C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на соответствие </w:t>
            </w:r>
            <w:r w:rsidR="0053117F">
              <w:rPr>
                <w:rFonts w:ascii="Times New Roman" w:hAnsi="Times New Roman"/>
                <w:sz w:val="20"/>
                <w:szCs w:val="20"/>
              </w:rPr>
              <w:t>минимальным требованиям ПБ, ОТ и ОС, наличие обучения и удостоверений по охране труда, пожарно-техническом</w:t>
            </w:r>
            <w:r w:rsidR="002831D1">
              <w:rPr>
                <w:rFonts w:ascii="Times New Roman" w:hAnsi="Times New Roman"/>
                <w:sz w:val="20"/>
                <w:szCs w:val="20"/>
              </w:rPr>
              <w:t>у минимуму, оказания первой помощи.</w:t>
            </w:r>
            <w:r w:rsidR="00F83B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53402" w:rsidRPr="00143896" w:rsidRDefault="00F83BBA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инструкций по безопасности в соответствии с видом работ и используемым </w:t>
            </w:r>
            <w:r w:rsidRPr="00143896">
              <w:rPr>
                <w:rFonts w:ascii="Times New Roman" w:hAnsi="Times New Roman"/>
                <w:sz w:val="20"/>
                <w:szCs w:val="20"/>
              </w:rPr>
              <w:t>инструментам и оборудованием в рамках предусмотренных предметом закупки работ</w:t>
            </w:r>
            <w:r w:rsidR="00853402" w:rsidRPr="001438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53402" w:rsidRPr="00143896" w:rsidRDefault="00853402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896">
              <w:rPr>
                <w:rFonts w:ascii="Times New Roman" w:hAnsi="Times New Roman"/>
                <w:sz w:val="20"/>
                <w:szCs w:val="20"/>
              </w:rPr>
              <w:t xml:space="preserve">Для наиболее полной и объективной оценки, отдел </w:t>
            </w:r>
            <w:proofErr w:type="spellStart"/>
            <w:r w:rsidRPr="00143896">
              <w:rPr>
                <w:rFonts w:ascii="Times New Roman" w:hAnsi="Times New Roman"/>
                <w:sz w:val="20"/>
                <w:szCs w:val="20"/>
              </w:rPr>
              <w:t>ОТиПБ</w:t>
            </w:r>
            <w:proofErr w:type="spellEnd"/>
            <w:r w:rsidRPr="00143896">
              <w:rPr>
                <w:rFonts w:ascii="Times New Roman" w:hAnsi="Times New Roman"/>
                <w:sz w:val="20"/>
                <w:szCs w:val="20"/>
              </w:rPr>
              <w:t xml:space="preserve"> может использовать результаты оценки деятельности Претендентов при проведении работ в других Обществах группы или по имеющейся информации из опыта работы и состояния ПБОТОС предыдущих периодов. Запрос информации производится путем направления запросов в Общества группы и ПАО «НК «Роснефть». Отрицательные отзывы в области ПБОТОС могут быть рассмотрены в качестве основания для выбора альтернативного контрагента. </w:t>
            </w:r>
          </w:p>
          <w:p w:rsidR="00FF2EC8" w:rsidRPr="001941E6" w:rsidRDefault="00853402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896">
              <w:rPr>
                <w:rFonts w:ascii="Times New Roman" w:hAnsi="Times New Roman"/>
                <w:sz w:val="20"/>
                <w:szCs w:val="20"/>
              </w:rPr>
              <w:t>Претендентам, ранее не имевшим договорных отношений с Заказчиком, может быть проведен выездной аудит на соответствие утвержденным квалификационным требованиям в соответствии с законодательством Российской Федерации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CF4155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3" w:name="_Toc504140233"/>
      <w:bookmarkEnd w:id="8"/>
      <w:bookmarkEnd w:id="9"/>
      <w:bookmarkEnd w:id="10"/>
      <w:r w:rsidRPr="00F62A61">
        <w:rPr>
          <w:rFonts w:ascii="Times New Roman" w:hAnsi="Times New Roman"/>
        </w:rPr>
        <w:t>ПРИЛОЖЕНИЯ</w:t>
      </w:r>
      <w:bookmarkEnd w:id="13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14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5329C6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5329C6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5329C6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14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DD468C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  <w:r w:rsidR="00C87370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DD468C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D72238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291FFE" w:rsidRPr="00F62A61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1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15" w:name="_Ref491251182"/>
      <w:bookmarkStart w:id="16" w:name="_Toc504140235"/>
      <w:bookmarkStart w:id="17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5329C6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5329C6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5329C6" w:rsidRPr="00F62A61">
        <w:rPr>
          <w:rFonts w:ascii="Times New Roman" w:hAnsi="Times New Roman"/>
          <w:sz w:val="20"/>
          <w:szCs w:val="20"/>
        </w:rPr>
        <w:fldChar w:fldCharType="end"/>
      </w:r>
      <w:bookmarkEnd w:id="15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bookmarkEnd w:id="16"/>
      <w:r w:rsidR="00B02661" w:rsidRPr="00B02661">
        <w:rPr>
          <w:rFonts w:ascii="Times New Roman" w:hAnsi="Times New Roman"/>
          <w:sz w:val="20"/>
          <w:szCs w:val="20"/>
        </w:rPr>
        <w:t xml:space="preserve">Анкета - заявка на </w:t>
      </w:r>
      <w:r w:rsidR="00126320">
        <w:rPr>
          <w:rFonts w:ascii="Times New Roman" w:hAnsi="Times New Roman"/>
          <w:sz w:val="20"/>
          <w:szCs w:val="20"/>
        </w:rPr>
        <w:t>для согласования субподрядчика</w:t>
      </w:r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bookmarkEnd w:id="17"/>
    <w:p w:rsidR="00C53740" w:rsidRDefault="00C53740" w:rsidP="00AD3A4F">
      <w:pPr>
        <w:rPr>
          <w:rFonts w:ascii="Times New Roman" w:hAnsi="Times New Roman"/>
        </w:rPr>
      </w:pPr>
    </w:p>
    <w:p w:rsidR="00B02661" w:rsidRPr="00063578" w:rsidRDefault="00B02661" w:rsidP="00B02661">
      <w:pPr>
        <w:spacing w:before="0" w:line="276" w:lineRule="auto"/>
        <w:jc w:val="center"/>
        <w:rPr>
          <w:b/>
        </w:rPr>
      </w:pPr>
      <w:r w:rsidRPr="00063578">
        <w:rPr>
          <w:b/>
        </w:rPr>
        <w:t xml:space="preserve">Анкета - заявка </w:t>
      </w:r>
      <w:r w:rsidR="00126320">
        <w:rPr>
          <w:b/>
        </w:rPr>
        <w:t xml:space="preserve">для согласования субподрядчика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02"/>
      </w:tblGrid>
      <w:tr w:rsidR="00B02661" w:rsidRPr="00063578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b/>
                <w:bCs/>
                <w:sz w:val="19"/>
                <w:szCs w:val="19"/>
              </w:rPr>
            </w:pPr>
            <w:r w:rsidRPr="00063578">
              <w:rPr>
                <w:rFonts w:cs="Arial"/>
                <w:b/>
                <w:bCs/>
                <w:sz w:val="19"/>
                <w:szCs w:val="19"/>
              </w:rPr>
              <w:t>Сведения об организации:</w:t>
            </w:r>
            <w:r w:rsidRPr="00063578">
              <w:rPr>
                <w:rFonts w:cs="Arial"/>
                <w:sz w:val="19"/>
                <w:szCs w:val="19"/>
              </w:rPr>
              <w:t xml:space="preserve"> _____________________________________________________</w:t>
            </w:r>
          </w:p>
        </w:tc>
      </w:tr>
      <w:tr w:rsidR="00B02661" w:rsidRPr="00063578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                                   (наименование организации) </w:t>
            </w:r>
          </w:p>
        </w:tc>
      </w:tr>
      <w:tr w:rsidR="00B02661" w:rsidRPr="00063578" w:rsidTr="00ED26BC">
        <w:trPr>
          <w:trHeight w:val="473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Полное наименование (в соответствии с учредительными документами) 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78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Фактическое местонахождение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111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Телефон/ факс/ </w:t>
            </w:r>
            <w:proofErr w:type="spellStart"/>
            <w:proofErr w:type="gramStart"/>
            <w:r w:rsidRPr="00063578">
              <w:rPr>
                <w:rFonts w:cs="Arial"/>
                <w:sz w:val="19"/>
                <w:szCs w:val="19"/>
              </w:rPr>
              <w:t>эл.адрес</w:t>
            </w:r>
            <w:proofErr w:type="spellEnd"/>
            <w:proofErr w:type="gramEnd"/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ИНН</w:t>
            </w:r>
            <w:r w:rsidRPr="00063578">
              <w:rPr>
                <w:rFonts w:cs="Arial"/>
                <w:sz w:val="19"/>
                <w:szCs w:val="19"/>
                <w:lang w:val="en-US"/>
              </w:rPr>
              <w:t xml:space="preserve"> </w:t>
            </w:r>
            <w:r w:rsidRPr="00063578">
              <w:rPr>
                <w:rFonts w:cs="Arial"/>
                <w:i/>
                <w:sz w:val="19"/>
                <w:szCs w:val="19"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ОГРН </w:t>
            </w:r>
            <w:r w:rsidRPr="00063578">
              <w:rPr>
                <w:rFonts w:cs="Arial"/>
                <w:i/>
                <w:sz w:val="19"/>
                <w:szCs w:val="19"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643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i/>
                <w:sz w:val="19"/>
                <w:szCs w:val="19"/>
                <w:u w:val="single"/>
              </w:rPr>
            </w:pPr>
            <w:r w:rsidRPr="00063578">
              <w:rPr>
                <w:rFonts w:cs="Arial"/>
                <w:i/>
                <w:sz w:val="19"/>
                <w:szCs w:val="19"/>
                <w:u w:val="single"/>
              </w:rPr>
              <w:t xml:space="preserve">Данные о лице, имеющем право подписи, в отношении которого отсутствуют решения о дисквалификации: 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Должность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ФИО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Число, месяц, год рождения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Паспорт (серия, номер, кем и когда выдан)</w:t>
            </w:r>
          </w:p>
        </w:tc>
        <w:tc>
          <w:tcPr>
            <w:tcW w:w="5802" w:type="dxa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:rsidTr="00ED26BC">
        <w:trPr>
          <w:trHeight w:val="710"/>
        </w:trPr>
        <w:tc>
          <w:tcPr>
            <w:tcW w:w="10197" w:type="dxa"/>
            <w:gridSpan w:val="2"/>
            <w:shd w:val="clear" w:color="auto" w:fill="auto"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Примечание: участник гарантирует достоверность предоставленных сведений и получение их в отношении вышеуказанных работников в соответствии с требованиями ФЗ «О защите персональных данных». ООО «БНГРЭ» имеет право на проверку всех сведений, указанных в анкете.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i/>
                <w:sz w:val="19"/>
                <w:szCs w:val="19"/>
              </w:rPr>
            </w:pPr>
            <w:r w:rsidRPr="00063578">
              <w:rPr>
                <w:rFonts w:cs="Arial"/>
                <w:i/>
                <w:sz w:val="19"/>
                <w:szCs w:val="19"/>
              </w:rPr>
              <w:t xml:space="preserve">Дата заполнения                  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"_______"_____________________20</w:t>
            </w:r>
            <w:r w:rsidR="00126320">
              <w:rPr>
                <w:rFonts w:cs="Arial"/>
                <w:sz w:val="19"/>
                <w:szCs w:val="19"/>
              </w:rPr>
              <w:t>_</w:t>
            </w:r>
            <w:r w:rsidRPr="00063578">
              <w:rPr>
                <w:rFonts w:cs="Arial"/>
                <w:sz w:val="19"/>
                <w:szCs w:val="19"/>
              </w:rPr>
              <w:t>_г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________________________________               </w:t>
            </w: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  (ФИО подписавшего, должность)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М.П.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</w:tbl>
    <w:p w:rsidR="00B02661" w:rsidRPr="00063578" w:rsidRDefault="00B02661" w:rsidP="00B02661">
      <w:pPr>
        <w:spacing w:before="0" w:line="276" w:lineRule="auto"/>
        <w:jc w:val="both"/>
        <w:rPr>
          <w:b/>
        </w:rPr>
      </w:pPr>
    </w:p>
    <w:p w:rsidR="00B02661" w:rsidRPr="00063578" w:rsidRDefault="00B02661" w:rsidP="00B02661">
      <w:pPr>
        <w:spacing w:before="0" w:line="276" w:lineRule="auto"/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2"/>
        <w:gridCol w:w="5211"/>
      </w:tblGrid>
      <w:tr w:rsidR="00B02661" w:rsidRPr="00063578" w:rsidTr="00ED26BC">
        <w:tc>
          <w:tcPr>
            <w:tcW w:w="10313" w:type="dxa"/>
            <w:gridSpan w:val="2"/>
            <w:shd w:val="clear" w:color="auto" w:fill="auto"/>
          </w:tcPr>
          <w:p w:rsidR="00B02661" w:rsidRPr="00063578" w:rsidRDefault="00B02661" w:rsidP="00ED26BC">
            <w:pPr>
              <w:spacing w:before="0" w:line="276" w:lineRule="auto"/>
              <w:rPr>
                <w:b/>
              </w:rPr>
            </w:pPr>
          </w:p>
        </w:tc>
      </w:tr>
      <w:tr w:rsidR="00B02661" w:rsidRPr="00063578" w:rsidTr="00ED26BC">
        <w:trPr>
          <w:trHeight w:val="893"/>
        </w:trPr>
        <w:tc>
          <w:tcPr>
            <w:tcW w:w="5102" w:type="dxa"/>
            <w:shd w:val="clear" w:color="auto" w:fill="auto"/>
            <w:vAlign w:val="bottom"/>
          </w:tcPr>
          <w:p w:rsidR="00B02661" w:rsidRPr="00063578" w:rsidRDefault="00B02661" w:rsidP="00ED26BC">
            <w:pPr>
              <w:spacing w:before="0" w:line="276" w:lineRule="auto"/>
            </w:pPr>
          </w:p>
        </w:tc>
        <w:tc>
          <w:tcPr>
            <w:tcW w:w="5211" w:type="dxa"/>
            <w:shd w:val="clear" w:color="auto" w:fill="auto"/>
            <w:vAlign w:val="bottom"/>
          </w:tcPr>
          <w:p w:rsidR="00B02661" w:rsidRPr="00063578" w:rsidRDefault="00B02661" w:rsidP="00ED26BC">
            <w:pPr>
              <w:spacing w:before="0" w:line="276" w:lineRule="auto"/>
            </w:pPr>
          </w:p>
        </w:tc>
      </w:tr>
      <w:tr w:rsidR="00B02661" w:rsidRPr="00063578" w:rsidTr="00ED26BC">
        <w:trPr>
          <w:trHeight w:val="893"/>
        </w:trPr>
        <w:tc>
          <w:tcPr>
            <w:tcW w:w="5102" w:type="dxa"/>
            <w:shd w:val="clear" w:color="auto" w:fill="auto"/>
            <w:vAlign w:val="bottom"/>
          </w:tcPr>
          <w:p w:rsidR="00B02661" w:rsidRPr="00063578" w:rsidRDefault="00B02661" w:rsidP="00ED26BC">
            <w:pPr>
              <w:spacing w:before="0" w:line="276" w:lineRule="auto"/>
            </w:pPr>
          </w:p>
        </w:tc>
        <w:tc>
          <w:tcPr>
            <w:tcW w:w="5211" w:type="dxa"/>
            <w:shd w:val="clear" w:color="auto" w:fill="auto"/>
            <w:vAlign w:val="bottom"/>
          </w:tcPr>
          <w:p w:rsidR="00B02661" w:rsidRPr="00063578" w:rsidRDefault="00B02661" w:rsidP="00ED26BC">
            <w:pPr>
              <w:spacing w:before="0" w:line="276" w:lineRule="auto"/>
            </w:pPr>
          </w:p>
        </w:tc>
      </w:tr>
    </w:tbl>
    <w:p w:rsidR="00B02661" w:rsidRPr="00063578" w:rsidRDefault="00B02661" w:rsidP="00B02661">
      <w:pPr>
        <w:pStyle w:val="a0"/>
        <w:numPr>
          <w:ilvl w:val="0"/>
          <w:numId w:val="0"/>
        </w:numPr>
        <w:tabs>
          <w:tab w:val="left" w:pos="851"/>
        </w:tabs>
        <w:rPr>
          <w:b/>
        </w:rPr>
        <w:sectPr w:rsidR="00B02661" w:rsidRPr="00063578" w:rsidSect="00302638">
          <w:pgSz w:w="11906" w:h="16838"/>
          <w:pgMar w:top="588" w:right="567" w:bottom="1134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18" w:name="_Ref491269178"/>
      <w:bookmarkStart w:id="19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bookmarkEnd w:id="18"/>
      <w:r w:rsidR="008C57CD">
        <w:rPr>
          <w:rFonts w:ascii="Times New Roman" w:hAnsi="Times New Roman"/>
          <w:sz w:val="20"/>
          <w:szCs w:val="20"/>
        </w:rPr>
        <w:t>3</w:t>
      </w:r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bookmarkEnd w:id="19"/>
      <w:r w:rsidR="000B46EA" w:rsidRPr="000B46EA">
        <w:rPr>
          <w:rFonts w:ascii="Times New Roman" w:hAnsi="Times New Roman"/>
          <w:sz w:val="20"/>
          <w:szCs w:val="20"/>
        </w:rPr>
        <w:t>Сведения о работниках субподрядной организации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1701"/>
        <w:gridCol w:w="3118"/>
        <w:gridCol w:w="4395"/>
      </w:tblGrid>
      <w:tr w:rsidR="000B46EA" w:rsidRPr="00F62A61" w:rsidTr="003633BA">
        <w:tc>
          <w:tcPr>
            <w:tcW w:w="534" w:type="dxa"/>
            <w:vMerge w:val="restart"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742" w:type="dxa"/>
            <w:gridSpan w:val="4"/>
            <w:shd w:val="clear" w:color="auto" w:fill="D9D9D9"/>
            <w:vAlign w:val="center"/>
          </w:tcPr>
          <w:p w:rsidR="000B46EA" w:rsidRPr="00F62A61" w:rsidRDefault="000B46EA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ах субподрядной организации</w:t>
            </w:r>
          </w:p>
        </w:tc>
      </w:tr>
      <w:tr w:rsidR="000B46EA" w:rsidRPr="00F62A61" w:rsidTr="008D163B">
        <w:tc>
          <w:tcPr>
            <w:tcW w:w="534" w:type="dxa"/>
            <w:vMerge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ата рождения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Наличие пропуска на месторождение (с указанием номера и срока действия)</w:t>
            </w:r>
            <w:r>
              <w:rPr>
                <w:rStyle w:val="af7"/>
                <w:b/>
                <w:sz w:val="20"/>
                <w:szCs w:val="20"/>
              </w:rPr>
              <w:footnoteReference w:id="2"/>
            </w:r>
          </w:p>
        </w:tc>
      </w:tr>
      <w:tr w:rsidR="000B46EA" w:rsidRPr="00F62A61" w:rsidTr="008D163B">
        <w:tc>
          <w:tcPr>
            <w:tcW w:w="534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46EA" w:rsidRPr="00F62A61" w:rsidTr="008D163B">
        <w:tc>
          <w:tcPr>
            <w:tcW w:w="534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46EA" w:rsidRPr="00F62A61" w:rsidTr="008D163B">
        <w:tc>
          <w:tcPr>
            <w:tcW w:w="534" w:type="dxa"/>
            <w:shd w:val="clear" w:color="auto" w:fill="auto"/>
          </w:tcPr>
          <w:p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0B46EA" w:rsidRPr="00F62A61" w:rsidRDefault="000B46EA" w:rsidP="000B46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46EA" w:rsidRPr="00F62A61" w:rsidRDefault="000B46EA" w:rsidP="000B46E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45EFE" w:rsidRDefault="00545EFE" w:rsidP="00C27494">
      <w:pPr>
        <w:tabs>
          <w:tab w:val="left" w:pos="5954"/>
          <w:tab w:val="left" w:pos="9072"/>
        </w:tabs>
        <w:rPr>
          <w:rFonts w:ascii="Times New Roman" w:hAnsi="Times New Roman"/>
        </w:rPr>
      </w:pPr>
    </w:p>
    <w:p w:rsidR="00545EFE" w:rsidRPr="00F62A61" w:rsidRDefault="00545EFE" w:rsidP="00545EFE">
      <w:pPr>
        <w:pStyle w:val="2"/>
        <w:rPr>
          <w:rFonts w:ascii="Times New Roman" w:hAnsi="Times New Roman"/>
          <w:sz w:val="20"/>
          <w:szCs w:val="20"/>
        </w:rPr>
      </w:pPr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4</w:t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Pr="000B46EA">
        <w:rPr>
          <w:rFonts w:ascii="Times New Roman" w:hAnsi="Times New Roman"/>
          <w:sz w:val="20"/>
          <w:szCs w:val="20"/>
        </w:rPr>
        <w:t xml:space="preserve">Сведения о </w:t>
      </w:r>
      <w:r>
        <w:rPr>
          <w:rFonts w:ascii="Times New Roman" w:hAnsi="Times New Roman"/>
          <w:sz w:val="20"/>
          <w:szCs w:val="20"/>
        </w:rPr>
        <w:t>технике</w:t>
      </w:r>
      <w:r w:rsidRPr="000B46EA">
        <w:rPr>
          <w:rFonts w:ascii="Times New Roman" w:hAnsi="Times New Roman"/>
          <w:sz w:val="20"/>
          <w:szCs w:val="20"/>
        </w:rPr>
        <w:t xml:space="preserve"> субподрядной организации</w:t>
      </w:r>
    </w:p>
    <w:p w:rsidR="00545EFE" w:rsidRPr="00F62A61" w:rsidRDefault="00545EFE" w:rsidP="00545EFE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2693"/>
        <w:gridCol w:w="1985"/>
        <w:gridCol w:w="4536"/>
      </w:tblGrid>
      <w:tr w:rsidR="00545EFE" w:rsidRPr="00F62A61" w:rsidTr="00ED26BC">
        <w:tc>
          <w:tcPr>
            <w:tcW w:w="534" w:type="dxa"/>
            <w:vMerge w:val="restart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742" w:type="dxa"/>
            <w:gridSpan w:val="4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технике субподрядной организации</w:t>
            </w:r>
          </w:p>
        </w:tc>
      </w:tr>
      <w:tr w:rsidR="00545EFE" w:rsidRPr="00F62A61" w:rsidTr="008D163B">
        <w:tc>
          <w:tcPr>
            <w:tcW w:w="534" w:type="dxa"/>
            <w:vMerge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Государственный регистрационный знака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 выпуска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Наличие пропуска на месторождение (с указанием номера и срока действия)</w:t>
            </w:r>
            <w:r>
              <w:rPr>
                <w:rStyle w:val="af7"/>
                <w:b/>
                <w:sz w:val="20"/>
                <w:szCs w:val="20"/>
              </w:rPr>
              <w:footnoteReference w:id="3"/>
            </w:r>
          </w:p>
        </w:tc>
      </w:tr>
      <w:tr w:rsidR="00545EFE" w:rsidRPr="00F62A61" w:rsidTr="008D163B">
        <w:tc>
          <w:tcPr>
            <w:tcW w:w="534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5EFE" w:rsidRPr="00F62A61" w:rsidTr="008D163B">
        <w:tc>
          <w:tcPr>
            <w:tcW w:w="534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5EFE" w:rsidRPr="00F62A61" w:rsidTr="008D163B">
        <w:tc>
          <w:tcPr>
            <w:tcW w:w="534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C6C90" w:rsidRDefault="008D163B" w:rsidP="008D163B">
      <w:pPr>
        <w:rPr>
          <w:rFonts w:ascii="Times New Roman" w:hAnsi="Times New Roman"/>
        </w:rPr>
      </w:pPr>
      <w:r>
        <w:rPr>
          <w:rFonts w:ascii="Times New Roman" w:hAnsi="Times New Roman"/>
        </w:rPr>
        <w:t>БСМТС</w:t>
      </w:r>
      <w:r w:rsidR="007C6C90">
        <w:rPr>
          <w:rFonts w:ascii="Times New Roman" w:hAnsi="Times New Roman"/>
        </w:rPr>
        <w:t>:</w:t>
      </w:r>
    </w:p>
    <w:tbl>
      <w:tblPr>
        <w:tblStyle w:val="afc"/>
        <w:tblW w:w="15276" w:type="dxa"/>
        <w:tblLook w:val="04A0" w:firstRow="1" w:lastRow="0" w:firstColumn="1" w:lastColumn="0" w:noHBand="0" w:noVBand="1"/>
      </w:tblPr>
      <w:tblGrid>
        <w:gridCol w:w="7338"/>
        <w:gridCol w:w="3543"/>
        <w:gridCol w:w="4395"/>
      </w:tblGrid>
      <w:tr w:rsidR="007C6C90" w:rsidTr="007C6C90">
        <w:tc>
          <w:tcPr>
            <w:tcW w:w="7338" w:type="dxa"/>
          </w:tcPr>
          <w:p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для входа в систему контроля:</w:t>
            </w:r>
          </w:p>
        </w:tc>
        <w:tc>
          <w:tcPr>
            <w:tcW w:w="3543" w:type="dxa"/>
          </w:tcPr>
          <w:p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Логин:</w:t>
            </w:r>
          </w:p>
        </w:tc>
        <w:tc>
          <w:tcPr>
            <w:tcW w:w="4395" w:type="dxa"/>
          </w:tcPr>
          <w:p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</w:t>
            </w:r>
          </w:p>
        </w:tc>
      </w:tr>
    </w:tbl>
    <w:p w:rsidR="008D163B" w:rsidRDefault="008D163B" w:rsidP="008D163B">
      <w:pPr>
        <w:rPr>
          <w:rFonts w:ascii="Times New Roman" w:hAnsi="Times New Roman"/>
        </w:rPr>
      </w:pPr>
    </w:p>
    <w:p w:rsidR="0082602C" w:rsidRPr="00063578" w:rsidRDefault="0082602C" w:rsidP="0082602C">
      <w:pPr>
        <w:rPr>
          <w:spacing w:val="-2"/>
        </w:rPr>
      </w:pPr>
      <w:r w:rsidRPr="00063578">
        <w:rPr>
          <w:spacing w:val="-2"/>
        </w:rPr>
        <w:t>Должность (подпись) Ф. И. О. ____________________________________</w:t>
      </w:r>
    </w:p>
    <w:p w:rsidR="0082602C" w:rsidRPr="0082602C" w:rsidRDefault="0082602C" w:rsidP="0082602C"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="007C6C90">
        <w:t xml:space="preserve">                  </w:t>
      </w:r>
      <w:r w:rsidRPr="00063578">
        <w:t>М.П.</w:t>
      </w:r>
    </w:p>
    <w:p w:rsidR="000F4E04" w:rsidRPr="008D163B" w:rsidRDefault="00545EFE" w:rsidP="008D163B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  <w:sectPr w:rsidR="000F4E04" w:rsidRPr="008D163B" w:rsidSect="005E7D2B">
          <w:headerReference w:type="default" r:id="rId12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  <w:r w:rsidRPr="008D65D4">
        <w:rPr>
          <w:rFonts w:ascii="Times New Roman" w:hAnsi="Times New Roman"/>
          <w:sz w:val="20"/>
          <w:szCs w:val="20"/>
        </w:rPr>
        <w:tab/>
      </w:r>
      <w:r w:rsidR="008D163B">
        <w:rPr>
          <w:rFonts w:ascii="Times New Roman" w:hAnsi="Times New Roman"/>
          <w:sz w:val="20"/>
          <w:szCs w:val="20"/>
        </w:rPr>
        <w:t xml:space="preserve">                                  </w:t>
      </w:r>
    </w:p>
    <w:p w:rsidR="00AC1926" w:rsidRDefault="0082602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Ref491271293"/>
      <w:bookmarkStart w:id="21" w:name="_Toc504140238"/>
      <w:r>
        <w:rPr>
          <w:rFonts w:ascii="Times New Roman" w:hAnsi="Times New Roman"/>
          <w:sz w:val="20"/>
          <w:szCs w:val="20"/>
        </w:rPr>
        <w:lastRenderedPageBreak/>
        <w:t>П</w:t>
      </w:r>
      <w:r w:rsidR="00AC1926" w:rsidRPr="00F62A61">
        <w:rPr>
          <w:rFonts w:ascii="Times New Roman" w:hAnsi="Times New Roman"/>
          <w:sz w:val="20"/>
          <w:szCs w:val="20"/>
        </w:rPr>
        <w:t xml:space="preserve">риложение </w:t>
      </w:r>
      <w:r w:rsidR="005329C6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5329C6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5329C6" w:rsidRPr="00F62A61">
        <w:rPr>
          <w:rFonts w:ascii="Times New Roman" w:hAnsi="Times New Roman"/>
          <w:sz w:val="20"/>
          <w:szCs w:val="20"/>
        </w:rPr>
        <w:fldChar w:fldCharType="end"/>
      </w:r>
      <w:bookmarkEnd w:id="20"/>
      <w:r w:rsidR="00AC1926" w:rsidRPr="00F62A61">
        <w:rPr>
          <w:rFonts w:ascii="Times New Roman" w:hAnsi="Times New Roman"/>
          <w:sz w:val="20"/>
          <w:szCs w:val="20"/>
        </w:rPr>
        <w:tab/>
      </w:r>
      <w:r w:rsidR="00AC1926" w:rsidRPr="00F62A61">
        <w:rPr>
          <w:rFonts w:ascii="Times New Roman" w:hAnsi="Times New Roman"/>
          <w:sz w:val="20"/>
          <w:szCs w:val="20"/>
        </w:rPr>
        <w:tab/>
      </w:r>
      <w:bookmarkEnd w:id="21"/>
      <w:r w:rsidRPr="0082602C">
        <w:rPr>
          <w:rFonts w:ascii="Times New Roman" w:hAnsi="Times New Roman"/>
          <w:sz w:val="20"/>
          <w:szCs w:val="20"/>
        </w:rPr>
        <w:t>Сведения о цепочке собственников, включая конечных бенефициаров</w:t>
      </w:r>
    </w:p>
    <w:p w:rsidR="0082602C" w:rsidRDefault="0082602C" w:rsidP="0082602C"/>
    <w:p w:rsidR="0082602C" w:rsidRPr="00063578" w:rsidRDefault="0082602C" w:rsidP="0082602C">
      <w:pPr>
        <w:tabs>
          <w:tab w:val="right" w:pos="9720"/>
        </w:tabs>
        <w:jc w:val="center"/>
        <w:rPr>
          <w:rFonts w:cs="Arial"/>
          <w:b/>
        </w:rPr>
      </w:pPr>
      <w:r w:rsidRPr="00063578">
        <w:rPr>
          <w:rFonts w:cs="Arial"/>
          <w:b/>
        </w:rPr>
        <w:t>Информация о собственниках (акционерах) организации</w:t>
      </w:r>
    </w:p>
    <w:p w:rsidR="0082602C" w:rsidRPr="00063578" w:rsidRDefault="0082602C" w:rsidP="0082602C">
      <w:pPr>
        <w:tabs>
          <w:tab w:val="right" w:pos="9720"/>
        </w:tabs>
        <w:jc w:val="center"/>
      </w:pPr>
      <w:r w:rsidRPr="00063578">
        <w:t xml:space="preserve"> (с указанием всей цепочки собственников, включая бенефициаров (в том числе конечных))</w:t>
      </w:r>
    </w:p>
    <w:p w:rsidR="0082602C" w:rsidRPr="00063578" w:rsidRDefault="0082602C" w:rsidP="0082602C">
      <w:pPr>
        <w:tabs>
          <w:tab w:val="right" w:pos="9720"/>
        </w:tabs>
        <w:spacing w:after="120"/>
        <w:jc w:val="center"/>
      </w:pPr>
      <w:r w:rsidRPr="00063578">
        <w:t>по состоянию на «___» ___________ _____ г.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8"/>
        <w:gridCol w:w="3895"/>
        <w:gridCol w:w="3313"/>
      </w:tblGrid>
      <w:tr w:rsidR="0082602C" w:rsidRPr="00063578" w:rsidTr="00ED26BC">
        <w:tc>
          <w:tcPr>
            <w:tcW w:w="1469" w:type="pct"/>
            <w:shd w:val="clear" w:color="auto" w:fill="D9D9D9"/>
            <w:vAlign w:val="center"/>
          </w:tcPr>
          <w:p w:rsidR="0082602C" w:rsidRPr="00063578" w:rsidRDefault="0082602C" w:rsidP="00ED26BC">
            <w:pPr>
              <w:spacing w:before="134"/>
              <w:ind w:right="14"/>
              <w:jc w:val="center"/>
              <w:rPr>
                <w:b/>
                <w:caps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>Наименование организации (наименование, место нахождения, ИНН)</w:t>
            </w:r>
          </w:p>
        </w:tc>
        <w:tc>
          <w:tcPr>
            <w:tcW w:w="1908" w:type="pct"/>
            <w:shd w:val="clear" w:color="auto" w:fill="D9D9D9"/>
            <w:vAlign w:val="center"/>
          </w:tcPr>
          <w:p w:rsidR="0082602C" w:rsidRPr="00063578" w:rsidRDefault="0082602C" w:rsidP="00ED26BC">
            <w:pPr>
              <w:spacing w:before="134"/>
              <w:ind w:right="14"/>
              <w:jc w:val="center"/>
              <w:rPr>
                <w:b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 xml:space="preserve">Собственники (акционеры) организации </w:t>
            </w:r>
            <w:proofErr w:type="gramStart"/>
            <w:r w:rsidRPr="00063578">
              <w:rPr>
                <w:b/>
                <w:sz w:val="20"/>
                <w:szCs w:val="20"/>
              </w:rPr>
              <w:t>с  указанием</w:t>
            </w:r>
            <w:proofErr w:type="gramEnd"/>
            <w:r w:rsidRPr="00063578">
              <w:rPr>
                <w:b/>
                <w:sz w:val="20"/>
                <w:szCs w:val="20"/>
              </w:rPr>
              <w:t xml:space="preserve"> доли в % (наименование, местонахождение (страна), ИНН)</w:t>
            </w:r>
          </w:p>
        </w:tc>
        <w:tc>
          <w:tcPr>
            <w:tcW w:w="1623" w:type="pct"/>
            <w:shd w:val="clear" w:color="auto" w:fill="D9D9D9"/>
            <w:vAlign w:val="center"/>
          </w:tcPr>
          <w:p w:rsidR="0082602C" w:rsidRPr="00063578" w:rsidRDefault="0082602C" w:rsidP="00ED26BC">
            <w:pPr>
              <w:ind w:right="14"/>
              <w:jc w:val="center"/>
              <w:rPr>
                <w:b/>
                <w:caps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82602C" w:rsidRPr="00063578" w:rsidTr="00ED26BC">
        <w:tc>
          <w:tcPr>
            <w:tcW w:w="5000" w:type="pct"/>
            <w:gridSpan w:val="3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063578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063578">
              <w:rPr>
                <w:sz w:val="20"/>
                <w:szCs w:val="20"/>
              </w:rPr>
              <w:t xml:space="preserve"> - потенциальный контрагент</w:t>
            </w: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5000" w:type="pct"/>
            <w:gridSpan w:val="3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II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собственники организации - потенциального контрагента</w:t>
            </w: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5000" w:type="pct"/>
            <w:gridSpan w:val="3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III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собственниками собственников организации - потенциального контрагента</w:t>
            </w: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5000" w:type="pct"/>
            <w:gridSpan w:val="3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IV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:rsidTr="00ED26BC">
        <w:tc>
          <w:tcPr>
            <w:tcW w:w="1469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</w:tbl>
    <w:p w:rsidR="0082602C" w:rsidRPr="00063578" w:rsidRDefault="0082602C" w:rsidP="0082602C">
      <w:pPr>
        <w:spacing w:line="276" w:lineRule="auto"/>
        <w:ind w:left="6" w:right="11"/>
        <w:rPr>
          <w:rFonts w:cs="Arial"/>
          <w:sz w:val="20"/>
          <w:szCs w:val="20"/>
        </w:rPr>
      </w:pPr>
    </w:p>
    <w:p w:rsidR="0082602C" w:rsidRPr="00063578" w:rsidRDefault="0082602C" w:rsidP="0082602C">
      <w:pPr>
        <w:rPr>
          <w:i/>
        </w:rPr>
      </w:pPr>
      <w:r w:rsidRPr="00063578">
        <w:rPr>
          <w:i/>
        </w:rPr>
        <w:t xml:space="preserve">Примечание: </w:t>
      </w:r>
    </w:p>
    <w:p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 xml:space="preserve">для собственников/акционеров юридических лиц указать: </w:t>
      </w:r>
    </w:p>
    <w:p w:rsidR="0082602C" w:rsidRPr="00063578" w:rsidRDefault="0082602C" w:rsidP="0082602C">
      <w:pPr>
        <w:pStyle w:val="af3"/>
        <w:numPr>
          <w:ilvl w:val="1"/>
          <w:numId w:val="18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наименование, форму собственности, ИНН, местонахождение (страну регистрации) и долю в % в организации–потенциального контрагента;</w:t>
      </w:r>
    </w:p>
    <w:p w:rsidR="0082602C" w:rsidRPr="00063578" w:rsidRDefault="0082602C" w:rsidP="0082602C">
      <w:pPr>
        <w:pStyle w:val="af3"/>
        <w:numPr>
          <w:ilvl w:val="1"/>
          <w:numId w:val="18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своих собственников (до конечных);</w:t>
      </w:r>
    </w:p>
    <w:p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в случае если акции организации – потенциального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82602C" w:rsidRPr="00063578" w:rsidRDefault="0082602C" w:rsidP="0082602C">
      <w:pPr>
        <w:spacing w:before="134"/>
        <w:ind w:left="5" w:right="14" w:firstLine="355"/>
      </w:pPr>
    </w:p>
    <w:p w:rsidR="0082602C" w:rsidRPr="00063578" w:rsidRDefault="0082602C" w:rsidP="0082602C">
      <w:pPr>
        <w:rPr>
          <w:spacing w:val="-2"/>
        </w:rPr>
      </w:pPr>
      <w:r w:rsidRPr="00063578">
        <w:rPr>
          <w:spacing w:val="-2"/>
        </w:rPr>
        <w:t>Должность (подпись) Ф. И. О. ____________________________________</w:t>
      </w:r>
    </w:p>
    <w:p w:rsidR="0082602C" w:rsidRPr="0082602C" w:rsidRDefault="0082602C" w:rsidP="0082602C"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="007C6C90">
        <w:t xml:space="preserve">                 </w:t>
      </w:r>
      <w:r w:rsidRPr="00063578">
        <w:t>М.П.</w:t>
      </w:r>
    </w:p>
    <w:p w:rsidR="00A9754D" w:rsidRDefault="00A9754D">
      <w:p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63923" w:rsidRDefault="00A9754D" w:rsidP="00AC1926">
      <w:pPr>
        <w:rPr>
          <w:rFonts w:ascii="Times New Roman" w:hAnsi="Times New Roman"/>
          <w:b/>
          <w:sz w:val="20"/>
          <w:szCs w:val="20"/>
        </w:rPr>
      </w:pPr>
      <w:r w:rsidRPr="00A9754D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 w:rsidR="00B36C1B">
        <w:rPr>
          <w:rFonts w:ascii="Times New Roman" w:hAnsi="Times New Roman"/>
          <w:b/>
          <w:sz w:val="20"/>
          <w:szCs w:val="20"/>
        </w:rPr>
        <w:t>6</w:t>
      </w:r>
      <w:r w:rsidRPr="00A9754D">
        <w:rPr>
          <w:rFonts w:ascii="Times New Roman" w:hAnsi="Times New Roman"/>
          <w:b/>
          <w:sz w:val="20"/>
          <w:szCs w:val="20"/>
        </w:rPr>
        <w:tab/>
      </w:r>
      <w:r w:rsidR="000809A7" w:rsidRPr="000809A7">
        <w:rPr>
          <w:rFonts w:ascii="Times New Roman" w:hAnsi="Times New Roman"/>
          <w:b/>
          <w:sz w:val="20"/>
          <w:szCs w:val="20"/>
        </w:rPr>
        <w:tab/>
        <w:t>Блок схема процесса согласования</w:t>
      </w:r>
      <w:r w:rsidR="00C92FC5">
        <w:rPr>
          <w:rFonts w:ascii="Times New Roman" w:hAnsi="Times New Roman"/>
          <w:b/>
          <w:sz w:val="20"/>
          <w:szCs w:val="20"/>
        </w:rPr>
        <w:t xml:space="preserve"> субподрядчика</w:t>
      </w:r>
      <w:r w:rsidRPr="00A9754D">
        <w:rPr>
          <w:rFonts w:ascii="Times New Roman" w:hAnsi="Times New Roman"/>
          <w:b/>
          <w:sz w:val="20"/>
          <w:szCs w:val="20"/>
        </w:rPr>
        <w:tab/>
      </w:r>
    </w:p>
    <w:p w:rsidR="00491B3A" w:rsidRDefault="00A042E8" w:rsidP="00AC19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5pt;margin-top:18.6pt;width:170.5pt;height:50.95pt;z-index:251659264">
            <v:textbox>
              <w:txbxContent>
                <w:p w:rsidR="00491B3A" w:rsidRDefault="00101B1E" w:rsidP="00101B1E">
                  <w:pPr>
                    <w:jc w:val="center"/>
                  </w:pPr>
                  <w:r>
                    <w:t>П</w:t>
                  </w:r>
                  <w:r w:rsidR="00491B3A">
                    <w:t xml:space="preserve">исьмо </w:t>
                  </w:r>
                  <w:r>
                    <w:t>о привлечении субподрядчика</w:t>
                  </w:r>
                </w:p>
              </w:txbxContent>
            </v:textbox>
          </v:shape>
        </w:pict>
      </w:r>
    </w:p>
    <w:p w:rsidR="00491B3A" w:rsidRDefault="00491B3A" w:rsidP="00AC1926">
      <w:pPr>
        <w:rPr>
          <w:rFonts w:ascii="Times New Roman" w:hAnsi="Times New Roman"/>
          <w:b/>
        </w:rPr>
      </w:pPr>
    </w:p>
    <w:p w:rsidR="00563923" w:rsidRPr="00A9754D" w:rsidRDefault="00A042E8" w:rsidP="00AC19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63.45pt;margin-top:90.4pt;width:178.25pt;height:0;z-index:251677696" o:connectortype="straight" strokecolor="#9bbb59 [3206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1" type="#_x0000_t32" style="position:absolute;margin-left:200.35pt;margin-top:261.7pt;width:42.1pt;height:.55pt;z-index:251671552" o:connectortype="straight" strokecolor="#9bbb59 [3206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2" type="#_x0000_t32" style="position:absolute;margin-left:201.3pt;margin-top:132.45pt;width:.45pt;height:130.25pt;flip:y;z-index:251672576" o:connectortype="straight" strokecolor="#9bbb59 [3206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3" type="#_x0000_t32" style="position:absolute;margin-left:147.05pt;margin-top:133.15pt;width:55.7pt;height:.05pt;flip:x;z-index:251673600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6" type="#_x0000_t32" style="position:absolute;margin-left:360.85pt;margin-top:129.15pt;width:82.65pt;height:.15pt;flip:x y;z-index:251666432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5" type="#_x0000_t32" style="position:absolute;margin-left:62.8pt;margin-top:308.2pt;width:380.7pt;height:0;z-index:251675648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5" type="#_x0000_t32" style="position:absolute;margin-left:442.55pt;margin-top:128.7pt;width:.05pt;height:180.1pt;flip:y;z-index:251665408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52" type="#_x0000_t32" style="position:absolute;margin-left:62.8pt;margin-top:175.75pt;width:.65pt;height:131.65pt;flip:x;z-index:251681792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0" type="#_x0000_t202" style="position:absolute;margin-left:365.4pt;margin-top:229.35pt;width:65.9pt;height:25.7pt;z-index:251670528" stroked="f">
            <v:textbox style="mso-next-textbox:#_x0000_s1040">
              <w:txbxContent>
                <w:p w:rsidR="00101B1E" w:rsidRDefault="00101B1E" w:rsidP="00101B1E">
                  <w:r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50" type="#_x0000_t202" style="position:absolute;margin-left:174.25pt;margin-top:43.2pt;width:89.05pt;height:26.3pt;z-index:251680768" stroked="f">
            <v:textbox style="mso-next-textbox:#_x0000_s1050">
              <w:txbxContent>
                <w:p w:rsidR="00D6294B" w:rsidRPr="00D6294B" w:rsidRDefault="00D6294B" w:rsidP="00D629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49" type="#_x0000_t32" style="position:absolute;margin-left:266.3pt;margin-top:32.25pt;width:.05pt;height:44.8pt;flip:y;z-index:251679744" o:connectortype="straight" strokecolor="#9bbb59 [3206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4" type="#_x0000_t32" style="position:absolute;margin-left:358pt;margin-top:262.9pt;width:84.25pt;height:0;z-index:251664384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1" type="#_x0000_t32" style="position:absolute;margin-left:299.9pt;margin-top:182.3pt;width:0;height:47.05pt;z-index:251663360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8" type="#_x0000_t202" style="position:absolute;margin-left:354pt;margin-top:41.1pt;width:79.15pt;height:26.3pt;z-index:251668480" stroked="f">
            <v:textbox>
              <w:txbxContent>
                <w:p w:rsidR="00101B1E" w:rsidRPr="00D6294B" w:rsidRDefault="00101B1E" w:rsidP="00101B1E">
                  <w:pPr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Замечани</w:t>
                  </w:r>
                  <w:r w:rsidR="00D6294B">
                    <w:rPr>
                      <w:sz w:val="20"/>
                      <w:szCs w:val="20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30" type="#_x0000_t32" style="position:absolute;margin-left:300.6pt;margin-top:32.95pt;width:0;height:43.35pt;z-index:251662336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39" type="#_x0000_t32" style="position:absolute;margin-left:340.65pt;margin-top:32.25pt;width:.05pt;height:44.8pt;flip:y;z-index:251669504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>
          <v:shape id="_x0000_s1048" type="#_x0000_t202" style="position:absolute;margin-left:74.8pt;margin-top:59.15pt;width:40.1pt;height:27.25pt;z-index:251678720" stroked="f">
            <v:textbox>
              <w:txbxContent>
                <w:p w:rsidR="00D6294B" w:rsidRDefault="00D6294B" w:rsidP="00D6294B"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9" type="#_x0000_t110" style="position:absolute;margin-left:-20.65pt;margin-top:91.35pt;width:167.7pt;height:84.4pt;z-index:251661312">
            <v:textbox>
              <w:txbxContent>
                <w:p w:rsidR="00101B1E" w:rsidRDefault="00101B1E" w:rsidP="00101B1E">
                  <w:pPr>
                    <w:jc w:val="center"/>
                  </w:pPr>
                  <w:r>
                    <w:t>Согласование у заказчика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46" type="#_x0000_t202" style="position:absolute;margin-left:71.25pt;margin-top:273.9pt;width:65.9pt;height:28.5pt;z-index:251676672" stroked="f">
            <v:textbox>
              <w:txbxContent>
                <w:p w:rsidR="00D6294B" w:rsidRPr="00D6294B" w:rsidRDefault="00D6294B" w:rsidP="00D6294B">
                  <w:pPr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37" type="#_x0000_t202" style="position:absolute;margin-left:204.75pt;margin-top:226.5pt;width:40.1pt;height:27.25pt;z-index:251667456" stroked="f">
            <v:textbox>
              <w:txbxContent>
                <w:p w:rsidR="00101B1E" w:rsidRDefault="00101B1E"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26" type="#_x0000_t202" style="position:absolute;margin-left:243.5pt;margin-top:77.05pt;width:117.55pt;height:105.25pt;z-index:251658240">
            <v:textbox>
              <w:txbxContent>
                <w:p w:rsidR="00491B3A" w:rsidRDefault="00491B3A" w:rsidP="00101B1E">
                  <w:pPr>
                    <w:jc w:val="center"/>
                  </w:pPr>
                  <w:r>
                    <w:t xml:space="preserve">Куратор </w:t>
                  </w:r>
                  <w:r w:rsidR="00101B1E">
                    <w:t xml:space="preserve">договора 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направляет </w:t>
                  </w:r>
                  <w:r w:rsidRPr="00101B1E">
                    <w:rPr>
                      <w:sz w:val="20"/>
                      <w:szCs w:val="20"/>
                    </w:rPr>
                    <w:t>СЗ для согласования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 у ЗГД по ЭБ и ЗГД по ОТ, ПБ и ООС</w:t>
                  </w:r>
                  <w:r w:rsidR="007C7112">
                    <w:rPr>
                      <w:sz w:val="20"/>
                      <w:szCs w:val="20"/>
                    </w:rPr>
                    <w:t>,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 в последующем Заказчик</w:t>
                  </w:r>
                  <w:r w:rsidR="007C7112">
                    <w:rPr>
                      <w:sz w:val="20"/>
                      <w:szCs w:val="20"/>
                    </w:rPr>
                    <w:t>у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>
          <v:shape id="_x0000_s1028" type="#_x0000_t110" style="position:absolute;margin-left:242.8pt;margin-top:230.6pt;width:114.8pt;height:63.85pt;z-index:251660288">
            <v:textbox>
              <w:txbxContent>
                <w:p w:rsidR="00D6294B" w:rsidRPr="00D6294B" w:rsidRDefault="00D6294B" w:rsidP="00D6294B">
                  <w:pPr>
                    <w:jc w:val="center"/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Согласование ЗГД</w:t>
                  </w:r>
                </w:p>
              </w:txbxContent>
            </v:textbox>
          </v:shape>
        </w:pict>
      </w:r>
    </w:p>
    <w:sectPr w:rsidR="00563923" w:rsidRPr="00A9754D" w:rsidSect="0082602C">
      <w:head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2E8" w:rsidRDefault="00A042E8">
      <w:r>
        <w:separator/>
      </w:r>
    </w:p>
  </w:endnote>
  <w:endnote w:type="continuationSeparator" w:id="0">
    <w:p w:rsidR="00A042E8" w:rsidRDefault="00A0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A0A" w:rsidRPr="00D7772E" w:rsidRDefault="006C0A0A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5329C6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5329C6" w:rsidRPr="00D7772E">
      <w:rPr>
        <w:rFonts w:cs="Arial"/>
        <w:b/>
        <w:sz w:val="20"/>
        <w:szCs w:val="20"/>
      </w:rPr>
      <w:fldChar w:fldCharType="separate"/>
    </w:r>
    <w:r w:rsidR="00DD468C">
      <w:rPr>
        <w:rFonts w:cs="Arial"/>
        <w:b/>
        <w:noProof/>
        <w:sz w:val="20"/>
        <w:szCs w:val="20"/>
      </w:rPr>
      <w:t>2</w:t>
    </w:r>
    <w:r w:rsidR="005329C6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DD468C" w:rsidRPr="00DD468C">
        <w:rPr>
          <w:rFonts w:cs="Arial"/>
          <w:b/>
          <w:noProof/>
          <w:sz w:val="20"/>
          <w:szCs w:val="20"/>
        </w:rPr>
        <w:t>11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2E8" w:rsidRDefault="00A042E8">
      <w:r>
        <w:separator/>
      </w:r>
    </w:p>
  </w:footnote>
  <w:footnote w:type="continuationSeparator" w:id="0">
    <w:p w:rsidR="00A042E8" w:rsidRDefault="00A042E8">
      <w:r>
        <w:continuationSeparator/>
      </w:r>
    </w:p>
  </w:footnote>
  <w:footnote w:id="1">
    <w:p w:rsidR="0082602C" w:rsidRPr="00AC141F" w:rsidRDefault="0082602C">
      <w:pPr>
        <w:pStyle w:val="af5"/>
        <w:rPr>
          <w:rFonts w:ascii="Times New Roman" w:hAnsi="Times New Roman"/>
        </w:rPr>
      </w:pPr>
      <w:r w:rsidRPr="00AC141F">
        <w:rPr>
          <w:rStyle w:val="af7"/>
          <w:rFonts w:ascii="Times New Roman" w:hAnsi="Times New Roman"/>
        </w:rPr>
        <w:footnoteRef/>
      </w:r>
      <w:r w:rsidRPr="00AC141F">
        <w:rPr>
          <w:rFonts w:ascii="Times New Roman" w:hAnsi="Times New Roman"/>
        </w:rPr>
        <w:t xml:space="preserve"> 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</w:t>
      </w:r>
    </w:p>
  </w:footnote>
  <w:footnote w:id="2">
    <w:p w:rsidR="000B46EA" w:rsidRDefault="000B46EA" w:rsidP="000B46EA">
      <w:pPr>
        <w:pStyle w:val="af5"/>
        <w:tabs>
          <w:tab w:val="left" w:pos="567"/>
        </w:tabs>
      </w:pPr>
      <w:r w:rsidRPr="000B46EA">
        <w:rPr>
          <w:rFonts w:ascii="Times New Roman" w:hAnsi="Times New Roman"/>
          <w:sz w:val="18"/>
          <w:szCs w:val="18"/>
          <w:lang w:eastAsia="ru-RU"/>
        </w:rPr>
        <w:footnoteRef/>
      </w:r>
      <w:r w:rsidRPr="000B46EA">
        <w:rPr>
          <w:rFonts w:ascii="Times New Roman" w:hAnsi="Times New Roman"/>
          <w:sz w:val="18"/>
          <w:szCs w:val="18"/>
          <w:lang w:eastAsia="ru-RU"/>
        </w:rPr>
        <w:t xml:space="preserve"> При его отсутствии направляются документы для оформления пропуска в соответствии с ЛНД</w:t>
      </w:r>
    </w:p>
  </w:footnote>
  <w:footnote w:id="3">
    <w:p w:rsidR="00545EFE" w:rsidRDefault="00545EFE" w:rsidP="00545EFE">
      <w:pPr>
        <w:pStyle w:val="af5"/>
        <w:tabs>
          <w:tab w:val="left" w:pos="567"/>
        </w:tabs>
      </w:pPr>
      <w:r w:rsidRPr="000B46EA">
        <w:rPr>
          <w:rFonts w:ascii="Times New Roman" w:hAnsi="Times New Roman"/>
          <w:sz w:val="18"/>
          <w:szCs w:val="18"/>
          <w:lang w:eastAsia="ru-RU"/>
        </w:rPr>
        <w:footnoteRef/>
      </w:r>
      <w:r w:rsidRPr="000B46EA">
        <w:rPr>
          <w:rFonts w:ascii="Times New Roman" w:hAnsi="Times New Roman"/>
          <w:sz w:val="18"/>
          <w:szCs w:val="18"/>
          <w:lang w:eastAsia="ru-RU"/>
        </w:rPr>
        <w:t xml:space="preserve"> При его отсутствии направляются документы для оформления пропуска в соответствии с ЛНД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6C0A0A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6C0A0A" w:rsidRPr="001941E6" w:rsidRDefault="006C0A0A" w:rsidP="002F6273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</w:t>
          </w:r>
          <w:r w:rsidR="004802B9">
            <w:rPr>
              <w:rFonts w:ascii="Times New Roman" w:hAnsi="Times New Roman"/>
              <w:b/>
              <w:sz w:val="20"/>
              <w:szCs w:val="20"/>
            </w:rPr>
            <w:t>подрядчика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подрядной организации</w:t>
          </w:r>
        </w:p>
      </w:tc>
    </w:tr>
  </w:tbl>
  <w:p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6C0A0A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6C0A0A" w:rsidRPr="001941E6" w:rsidRDefault="008D163B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6C0A0A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6C0A0A" w:rsidRPr="001941E6" w:rsidRDefault="008D163B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82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1581"/>
      <w:gridCol w:w="8601"/>
    </w:tblGrid>
    <w:tr w:rsidR="006C0A0A" w:rsidRPr="00AF2453" w:rsidTr="0082602C">
      <w:trPr>
        <w:trHeight w:val="851"/>
      </w:trPr>
      <w:tc>
        <w:tcPr>
          <w:tcW w:w="1581" w:type="dxa"/>
          <w:tcMar>
            <w:left w:w="57" w:type="dxa"/>
            <w:right w:w="0" w:type="dxa"/>
          </w:tcMar>
          <w:vAlign w:val="center"/>
        </w:tcPr>
        <w:p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601" w:type="dxa"/>
          <w:tcMar>
            <w:left w:w="57" w:type="dxa"/>
            <w:right w:w="0" w:type="dxa"/>
          </w:tcMar>
          <w:vAlign w:val="center"/>
        </w:tcPr>
        <w:p w:rsidR="006C0A0A" w:rsidRPr="001941E6" w:rsidRDefault="008D163B" w:rsidP="0082602C">
          <w:pPr>
            <w:spacing w:before="0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7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63C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0BD2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09A7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6EA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71C2"/>
    <w:rsid w:val="000F04E3"/>
    <w:rsid w:val="000F12B1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1B1E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6320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1D3"/>
    <w:rsid w:val="00137A0D"/>
    <w:rsid w:val="00137F05"/>
    <w:rsid w:val="00140091"/>
    <w:rsid w:val="0014067E"/>
    <w:rsid w:val="001418F1"/>
    <w:rsid w:val="00143896"/>
    <w:rsid w:val="00146094"/>
    <w:rsid w:val="001520F0"/>
    <w:rsid w:val="001569AD"/>
    <w:rsid w:val="00160790"/>
    <w:rsid w:val="0016096B"/>
    <w:rsid w:val="00161763"/>
    <w:rsid w:val="00162927"/>
    <w:rsid w:val="00166F27"/>
    <w:rsid w:val="00167A3F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8757B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1EC4"/>
    <w:rsid w:val="001B248C"/>
    <w:rsid w:val="001B3D69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D6D37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15D5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1D1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0F3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513"/>
    <w:rsid w:val="002E468B"/>
    <w:rsid w:val="002E52D3"/>
    <w:rsid w:val="002E584F"/>
    <w:rsid w:val="002F27B3"/>
    <w:rsid w:val="002F3B88"/>
    <w:rsid w:val="002F6273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25D3"/>
    <w:rsid w:val="00323292"/>
    <w:rsid w:val="003244FE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2F1B"/>
    <w:rsid w:val="003530EC"/>
    <w:rsid w:val="003547EB"/>
    <w:rsid w:val="003552EA"/>
    <w:rsid w:val="00355AD8"/>
    <w:rsid w:val="00357BFC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F5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14B0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EE4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3C09"/>
    <w:rsid w:val="0047700A"/>
    <w:rsid w:val="004773E0"/>
    <w:rsid w:val="00477429"/>
    <w:rsid w:val="004778EA"/>
    <w:rsid w:val="004802B9"/>
    <w:rsid w:val="00480EE6"/>
    <w:rsid w:val="0048108C"/>
    <w:rsid w:val="00481DF2"/>
    <w:rsid w:val="00484737"/>
    <w:rsid w:val="004859C9"/>
    <w:rsid w:val="00490CFE"/>
    <w:rsid w:val="00491B3A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519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8A0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30"/>
    <w:rsid w:val="00520E46"/>
    <w:rsid w:val="00521BFE"/>
    <w:rsid w:val="00521FE0"/>
    <w:rsid w:val="00523406"/>
    <w:rsid w:val="00523A60"/>
    <w:rsid w:val="0052400E"/>
    <w:rsid w:val="00526C16"/>
    <w:rsid w:val="0053117F"/>
    <w:rsid w:val="005329C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5EFE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3923"/>
    <w:rsid w:val="0056564A"/>
    <w:rsid w:val="00567275"/>
    <w:rsid w:val="00567C36"/>
    <w:rsid w:val="005713A4"/>
    <w:rsid w:val="005724CC"/>
    <w:rsid w:val="00573A10"/>
    <w:rsid w:val="005756CA"/>
    <w:rsid w:val="00575BD5"/>
    <w:rsid w:val="00576F8F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18A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2983"/>
    <w:rsid w:val="0064449D"/>
    <w:rsid w:val="006456C9"/>
    <w:rsid w:val="0064577B"/>
    <w:rsid w:val="00646969"/>
    <w:rsid w:val="00646FE9"/>
    <w:rsid w:val="00651D52"/>
    <w:rsid w:val="00652F45"/>
    <w:rsid w:val="006544FE"/>
    <w:rsid w:val="00661421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BF8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B6F"/>
    <w:rsid w:val="006B3AF5"/>
    <w:rsid w:val="006B3EEB"/>
    <w:rsid w:val="006B4C3F"/>
    <w:rsid w:val="006B67AB"/>
    <w:rsid w:val="006C0A0A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1A85"/>
    <w:rsid w:val="006D21FF"/>
    <w:rsid w:val="006D27E4"/>
    <w:rsid w:val="006D41EE"/>
    <w:rsid w:val="006D6C2E"/>
    <w:rsid w:val="006D745E"/>
    <w:rsid w:val="006E044B"/>
    <w:rsid w:val="006E0713"/>
    <w:rsid w:val="006E07A7"/>
    <w:rsid w:val="006E33CE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6C90"/>
    <w:rsid w:val="007C7112"/>
    <w:rsid w:val="007C7695"/>
    <w:rsid w:val="007D0035"/>
    <w:rsid w:val="007D0A9F"/>
    <w:rsid w:val="007D1A83"/>
    <w:rsid w:val="007D24F7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2029"/>
    <w:rsid w:val="008239F7"/>
    <w:rsid w:val="00823B73"/>
    <w:rsid w:val="00824DE7"/>
    <w:rsid w:val="008251E3"/>
    <w:rsid w:val="008254BB"/>
    <w:rsid w:val="00825611"/>
    <w:rsid w:val="00825834"/>
    <w:rsid w:val="0082602C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3402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6944"/>
    <w:rsid w:val="00867457"/>
    <w:rsid w:val="008677B5"/>
    <w:rsid w:val="008722D1"/>
    <w:rsid w:val="00872A3B"/>
    <w:rsid w:val="008736A3"/>
    <w:rsid w:val="00874DE3"/>
    <w:rsid w:val="00875AF7"/>
    <w:rsid w:val="00877495"/>
    <w:rsid w:val="0088193B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57CD"/>
    <w:rsid w:val="008C63BF"/>
    <w:rsid w:val="008D0151"/>
    <w:rsid w:val="008D163B"/>
    <w:rsid w:val="008D18CD"/>
    <w:rsid w:val="008D2202"/>
    <w:rsid w:val="008D24D2"/>
    <w:rsid w:val="008D250F"/>
    <w:rsid w:val="008D2540"/>
    <w:rsid w:val="008D3ABE"/>
    <w:rsid w:val="008D4F07"/>
    <w:rsid w:val="008D6064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0E3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42E8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65D9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9754D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41F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D5AFF"/>
    <w:rsid w:val="00AE052C"/>
    <w:rsid w:val="00AE1668"/>
    <w:rsid w:val="00AE1795"/>
    <w:rsid w:val="00AE19F4"/>
    <w:rsid w:val="00AE271C"/>
    <w:rsid w:val="00AE2795"/>
    <w:rsid w:val="00AE388C"/>
    <w:rsid w:val="00AE43A5"/>
    <w:rsid w:val="00AE43EE"/>
    <w:rsid w:val="00AE48FD"/>
    <w:rsid w:val="00AE4F07"/>
    <w:rsid w:val="00AE591C"/>
    <w:rsid w:val="00AF0510"/>
    <w:rsid w:val="00AF0523"/>
    <w:rsid w:val="00AF06AA"/>
    <w:rsid w:val="00AF070B"/>
    <w:rsid w:val="00AF16B5"/>
    <w:rsid w:val="00AF191F"/>
    <w:rsid w:val="00AF2AE2"/>
    <w:rsid w:val="00AF4EE0"/>
    <w:rsid w:val="00AF6650"/>
    <w:rsid w:val="00B00026"/>
    <w:rsid w:val="00B00717"/>
    <w:rsid w:val="00B012A2"/>
    <w:rsid w:val="00B01AE6"/>
    <w:rsid w:val="00B021E6"/>
    <w:rsid w:val="00B021FE"/>
    <w:rsid w:val="00B02661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C1B"/>
    <w:rsid w:val="00B374C6"/>
    <w:rsid w:val="00B40CAA"/>
    <w:rsid w:val="00B41C89"/>
    <w:rsid w:val="00B42BA1"/>
    <w:rsid w:val="00B43CCA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776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8B8"/>
    <w:rsid w:val="00BE7A6A"/>
    <w:rsid w:val="00BF12C7"/>
    <w:rsid w:val="00BF31A9"/>
    <w:rsid w:val="00BF42C9"/>
    <w:rsid w:val="00BF5EB1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27EA7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370"/>
    <w:rsid w:val="00C87EFE"/>
    <w:rsid w:val="00C90105"/>
    <w:rsid w:val="00C903D2"/>
    <w:rsid w:val="00C92FC5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19B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616F"/>
    <w:rsid w:val="00D11931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47DD"/>
    <w:rsid w:val="00D561E0"/>
    <w:rsid w:val="00D56BE5"/>
    <w:rsid w:val="00D61012"/>
    <w:rsid w:val="00D6245F"/>
    <w:rsid w:val="00D6294B"/>
    <w:rsid w:val="00D6341E"/>
    <w:rsid w:val="00D63835"/>
    <w:rsid w:val="00D63CC4"/>
    <w:rsid w:val="00D658F3"/>
    <w:rsid w:val="00D67E85"/>
    <w:rsid w:val="00D70CD1"/>
    <w:rsid w:val="00D7170A"/>
    <w:rsid w:val="00D71B56"/>
    <w:rsid w:val="00D72105"/>
    <w:rsid w:val="00D72238"/>
    <w:rsid w:val="00D7324A"/>
    <w:rsid w:val="00D76260"/>
    <w:rsid w:val="00D77324"/>
    <w:rsid w:val="00D7772E"/>
    <w:rsid w:val="00D80C42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1A60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68C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49D7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2D7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8AE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5E45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A1"/>
    <w:rsid w:val="00ED47E1"/>
    <w:rsid w:val="00ED59DA"/>
    <w:rsid w:val="00ED5EED"/>
    <w:rsid w:val="00EE1539"/>
    <w:rsid w:val="00EE2C79"/>
    <w:rsid w:val="00EE3370"/>
    <w:rsid w:val="00EE3C0B"/>
    <w:rsid w:val="00EE4DB1"/>
    <w:rsid w:val="00EE5075"/>
    <w:rsid w:val="00EE5376"/>
    <w:rsid w:val="00EE61F6"/>
    <w:rsid w:val="00EF0712"/>
    <w:rsid w:val="00EF0D4A"/>
    <w:rsid w:val="00EF1908"/>
    <w:rsid w:val="00EF1B02"/>
    <w:rsid w:val="00EF1F7B"/>
    <w:rsid w:val="00EF21E1"/>
    <w:rsid w:val="00EF270E"/>
    <w:rsid w:val="00EF282B"/>
    <w:rsid w:val="00EF5BB2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AC5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24D4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308F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3BBA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1213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447"/>
    <w:rsid w:val="00FC6B54"/>
    <w:rsid w:val="00FC70F0"/>
    <w:rsid w:val="00FD048D"/>
    <w:rsid w:val="00FD1A23"/>
    <w:rsid w:val="00FD3A5A"/>
    <w:rsid w:val="00FD4062"/>
    <w:rsid w:val="00FD475D"/>
    <w:rsid w:val="00FD5474"/>
    <w:rsid w:val="00FD61B5"/>
    <w:rsid w:val="00FD73C7"/>
    <w:rsid w:val="00FE02BE"/>
    <w:rsid w:val="00FE0697"/>
    <w:rsid w:val="00FE1215"/>
    <w:rsid w:val="00FE2EC7"/>
    <w:rsid w:val="00FE3CA5"/>
    <w:rsid w:val="00FE501D"/>
    <w:rsid w:val="00FE539B"/>
    <w:rsid w:val="00FE554F"/>
    <w:rsid w:val="00FE585F"/>
    <w:rsid w:val="00FE5DE9"/>
    <w:rsid w:val="00FF02AB"/>
    <w:rsid w:val="00FF11C4"/>
    <w:rsid w:val="00FF1F53"/>
    <w:rsid w:val="00FF2EC8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5"/>
        <o:r id="V:Rule2" type="connector" idref="#_x0000_s1043"/>
        <o:r id="V:Rule3" type="connector" idref="#_x0000_s1041"/>
        <o:r id="V:Rule4" type="connector" idref="#_x0000_s1047"/>
        <o:r id="V:Rule5" type="connector" idref="#_x0000_s1045"/>
        <o:r id="V:Rule6" type="connector" idref="#_x0000_s1039"/>
        <o:r id="V:Rule7" type="connector" idref="#_x0000_s1052"/>
        <o:r id="V:Rule8" type="connector" idref="#_x0000_s1030"/>
        <o:r id="V:Rule9" type="connector" idref="#_x0000_s1042"/>
        <o:r id="V:Rule10" type="connector" idref="#_x0000_s1031"/>
        <o:r id="V:Rule11" type="connector" idref="#_x0000_s1049"/>
        <o:r id="V:Rule12" type="connector" idref="#_x0000_s1036"/>
        <o:r id="V:Rule13" type="connector" idref="#_x0000_s1034"/>
      </o:rules>
    </o:shapelayout>
  </w:shapeDefaults>
  <w:decimalSymbol w:val=","/>
  <w:listSeparator w:val=";"/>
  <w14:docId w14:val="4441CE9E"/>
  <w15:docId w15:val="{B612CB49-DE4C-420D-B645-B7C031BA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aliases w:val="Bullet_IRAO,List Paragraph,Мой Список,А"/>
    <w:basedOn w:val="a1"/>
    <w:link w:val="af4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e">
    <w:name w:val="Оглавление"/>
    <w:basedOn w:val="1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0">
    <w:name w:val="Буллит"/>
    <w:basedOn w:val="a0"/>
    <w:link w:val="aff1"/>
    <w:qFormat/>
    <w:rsid w:val="00A953A2"/>
    <w:pPr>
      <w:numPr>
        <w:ilvl w:val="0"/>
        <w:numId w:val="0"/>
      </w:numPr>
    </w:pPr>
  </w:style>
  <w:style w:type="character" w:customStyle="1" w:styleId="aff">
    <w:name w:val="Оглавление Знак"/>
    <w:basedOn w:val="10"/>
    <w:link w:val="afe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1">
    <w:name w:val="Буллит Знак"/>
    <w:basedOn w:val="afd"/>
    <w:link w:val="aff0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2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3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4">
    <w:name w:val="ЗнакФон"/>
    <w:rsid w:val="006A546D"/>
    <w:rPr>
      <w:bdr w:val="none" w:sz="0" w:space="0" w:color="auto"/>
      <w:shd w:val="clear" w:color="auto" w:fill="auto"/>
    </w:rPr>
  </w:style>
  <w:style w:type="character" w:styleId="aff5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6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7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8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8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9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af4">
    <w:name w:val="Абзац списка Знак"/>
    <w:aliases w:val="Bullet_IRAO Знак,List Paragraph Знак,Мой Список Знак,А Знак"/>
    <w:link w:val="af3"/>
    <w:uiPriority w:val="34"/>
    <w:locked/>
    <w:rsid w:val="0082602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8FBA7-84F9-47CF-B66B-4AF3AF0B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8609</TotalTime>
  <Pages>11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16937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Науменко Анатолий Николаевич</cp:lastModifiedBy>
  <cp:revision>61</cp:revision>
  <cp:lastPrinted>2018-01-29T09:00:00Z</cp:lastPrinted>
  <dcterms:created xsi:type="dcterms:W3CDTF">2018-01-30T07:27:00Z</dcterms:created>
  <dcterms:modified xsi:type="dcterms:W3CDTF">2024-09-09T06:30:00Z</dcterms:modified>
</cp:coreProperties>
</file>